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9864" w:type="dxa"/>
      </w:tblGrid>
      <w:tblPr>
        <w:tblW w:w="9864" w:type="dxa"/>
        <w:tblLayout w:type="autofit"/>
        <w:tblCellMar>
          <w:top w:w="283.4645669291338" w:type="dxa"/>
          <w:left w:w="283.4645669291338" w:type="dxa"/>
          <w:right w:w="283.4645669291338" w:type="dxa"/>
          <w:bottom w:w="283.4645669291338" w:type="dxa"/>
        </w:tblCellMar>
      </w:tblPr>
      <w:tr>
        <w:trPr/>
        <w:tc>
          <w:tcPr>
            <w:tcW w:w="9864" w:type="dxa"/>
            <w:shd w:val="clear" w:fill="3B3A5E"/>
            <w:noWrap/>
          </w:tcPr>
          <w:p>
            <w:pPr>
              <w:spacing w:after="360"/>
            </w:pPr>
            <w:r>
              <w:pict>
                <v:shape type="#_x0000_t75" stroked="f" style="width:34pt; height:34pt; margin-left:0pt; margin-top:0pt; mso-position-horizontal:left; mso-position-vertical:top; mso-position-horizontal-relative:char; mso-position-vertical-relative:line;">
                  <w10:wrap type="inline"/>
                  <v:imagedata r:id="rId7" o:title=""/>
                </v:shape>
              </w:pict>
            </w:r>
            <w:r>
              <w:rPr>
                <w:color w:val="FFFFFF"/>
                <w:sz w:val="40"/>
                <w:szCs w:val="40"/>
                <w:b w:val="1"/>
                <w:bCs w:val="1"/>
              </w:rPr>
              <w:t xml:space="preserve">  Edu</w:t>
            </w:r>
            <w:r>
              <w:rPr>
                <w:color w:val="ECA327"/>
                <w:sz w:val="40"/>
                <w:szCs w:val="40"/>
                <w:b w:val="1"/>
                <w:bCs w:val="1"/>
              </w:rPr>
              <w:t xml:space="preserve">Check</w:t>
            </w:r>
            <w:r>
              <w:rPr>
                <w:color w:val="C9C8DC"/>
                <w:sz w:val="16"/>
                <w:szCs w:val="16"/>
                <w:b w:val="1"/>
                <w:bCs w:val="1"/>
              </w:rPr>
              <w:t xml:space="preserve">   BY CERC</w:t>
            </w:r>
          </w:p>
          <w:p>
            <w:pPr>
              <w:spacing w:after="80"/>
            </w:pPr>
            <w:r>
              <w:rPr>
                <w:color w:val="ECA327"/>
                <w:sz w:val="18"/>
                <w:szCs w:val="18"/>
                <w:b w:val="1"/>
                <w:bCs w:val="1"/>
                <w:smallCaps w:val="0"/>
                <w:caps w:val="1"/>
              </w:rPr>
              <w:t xml:space="preserve">Rapport de suivi EduCheck</w:t>
            </w:r>
          </w:p>
          <w:p>
            <w:pPr>
              <w:spacing w:after="200" w:line="240" w:lineRule="auto"/>
            </w:pPr>
            <w:r>
              <w:rPr>
                <w:color w:val="FFFFFF"/>
                <w:sz w:val="60"/>
                <w:szCs w:val="60"/>
                <w:b w:val="1"/>
                <w:bCs w:val="1"/>
              </w:rPr>
              <w:t xml:space="preserve">Suivi citoyen des écoles</w:t>
            </w:r>
          </w:p>
          <w:p>
            <w:pPr>
              <w:spacing w:after="0"/>
            </w:pPr>
            <w:r>
              <w:rPr>
                <w:color w:val="FFFFFF"/>
                <w:sz w:val="26"/>
                <w:szCs w:val="26"/>
                <w:b w:val="1"/>
                <w:bCs w:val="1"/>
              </w:rPr>
              <w:t xml:space="preserve">Écoles et projets d’infrastructure scolaire</w:t>
            </w:r>
          </w:p>
          <w:p>
            <w:pPr>
              <w:spacing w:after="160"/>
            </w:pPr>
            <w:r>
              <w:rPr>
                <w:color w:val="C9C8DC"/>
                <w:sz w:val="21"/>
                <w:szCs w:val="21"/>
              </w:rPr>
              <w:t xml:space="preserve">Toutes les données depuis le début du suivi</w:t>
            </w:r>
          </w:p>
        </w:tc>
      </w:tr>
    </w:tbl>
    <w:p>
      <w:pPr>
        <w:rPr>
          <w:sz w:val="12"/>
          <w:szCs w:val="12"/>
        </w:rPr>
      </w:pPr>
    </w:p>
    <w:p>
      <w:pPr>
        <w:jc w:val="center"/>
      </w:pPr>
      <w:r>
        <w:pict>
          <v:shape type="#_x0000_t75" stroked="f" style="width:493.22834645669pt; height:328.8188976378pt; margin-left:0pt; margin-top:0pt; mso-position-horizontal:left; mso-position-vertical:top; mso-position-horizontal-relative:char; mso-position-vertical-relative:line;">
            <w10:wrap type="inline"/>
            <v:imagedata r:id="rId8" o:title=""/>
          </v:shape>
        </w:pict>
      </w:r>
    </w:p>
    <w:p>
      <w:pPr>
        <w:rPr>
          <w:sz w:val="12"/>
          <w:szCs w:val="12"/>
        </w:rPr>
      </w:pPr>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Problèmes signalés</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Problèmes corrigés</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Taux de correction</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Corrections vérifiées sur place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Écoles et chantiers visités</w:t>
            </w:r>
          </w:p>
        </w:tc>
        <w:tc>
          <w:tcPr>
            <w:tcW w:w="3288" w:type="dxa"/>
            <w:tcBorders>
              <w:left w:val="single" w:sz="36" w:color="c671ba"/>
            </w:tcBorders>
            <w:shd w:val="clear" w:fill="F6F6F4"/>
            <w:noWrap/>
          </w:tcPr>
          <w:p>
            <w:pPr>
              <w:spacing w:after="0"/>
            </w:pPr>
            <w:r>
              <w:rPr>
                <w:color w:val="3B3A5E"/>
                <w:sz w:val="40"/>
                <w:szCs w:val="40"/>
                <w:b w:val="1"/>
                <w:bCs w:val="1"/>
              </w:rPr>
              <w:t xml:space="preserve">71 jours</w:t>
            </w:r>
          </w:p>
          <w:p>
            <w:pPr>
              <w:spacing w:after="0"/>
            </w:pPr>
            <w:r>
              <w:rPr>
                <w:color w:val="868686"/>
                <w:sz w:val="16"/>
                <w:szCs w:val="16"/>
                <w:b w:val="1"/>
                <w:bCs w:val="1"/>
                <w:smallCaps w:val="0"/>
                <w:caps w:val="1"/>
              </w:rPr>
              <w:t xml:space="preserve">Délai médian de correction</w:t>
            </w:r>
          </w:p>
        </w:tc>
      </w:tr>
    </w:tbl>
    <w:p>
      <w:pPr>
        <w:rPr>
          <w:sz w:val="12"/>
          <w:szCs w:val="12"/>
        </w:rPr>
      </w:pPr>
    </w:p>
    <w:p>
      <w:pPr>
        <w:spacing w:before="120"/>
        <w:pBdr>
          <w:top w:val="single" w:sz="4" w:color="D8D6CC"/>
        </w:pBdr>
      </w:pPr>
      <w:r>
        <w:rPr>
          <w:color w:val="3B3A5E"/>
          <w:sz w:val="17"/>
          <w:szCs w:val="17"/>
          <w:b w:val="1"/>
          <w:bCs w:val="1"/>
        </w:rPr>
        <w:t xml:space="preserve">Centre de Recherche sur l’Anti-Corruption (CERC)</w:t>
      </w:r>
      <w:r>
        <w:rPr>
          <w:rStyle w:val="muted"/>
        </w:rPr>
        <w:t xml:space="preserve"> · Kinshasa · Bukavu · info@cerc.cd · educheck.cd · Généré le 17 octobre 2026</w:t>
      </w:r>
    </w:p>
    <w:p>
      <w:pPr>
        <w:sectPr>
          <w:pgSz w:orient="portrait" w:w="11905.511811023622" w:h="16837.79527559055"/>
          <w:pgMar w:top="1360.6299212598426" w:right="1020.4724409448818" w:bottom="1133.8582677165352" w:left="1020.4724409448818" w:header="720" w:footer="720" w:gutter="0"/>
          <w:cols w:num="1" w:space="720"/>
        </w:sectPr>
      </w:pPr>
    </w:p>
    <w:p>
      <w:pPr/>
      <w:r>
        <w:rPr>
          <w:rStyle w:val="kicker"/>
        </w:rPr>
        <w:t xml:space="preserve">Écoles et projets d’infrastructure scolaire · Toutes les données depuis le début du suivi</w:t>
      </w:r>
    </w:p>
    <w:p>
      <w:pPr>
        <w:pStyle w:val="Heading1"/>
      </w:pPr>
      <w:bookmarkStart w:id="0" w:name="_Toc0"/>
      <w:r>
        <w:t>Résumé exécutif</w:t>
      </w:r>
      <w:bookmarkEnd w:id="0"/>
    </w:p>
    <w:p>
      <w:pPr>
        <w:spacing w:after="100"/>
        <w:numPr>
          <w:ilvl w:val="0"/>
          <w:numId w:val="10"/>
        </w:numPr>
      </w:pPr>
      <w:r>
        <w:rPr/>
        <w:t xml:space="preserve">126 visites de suivi dans 61 écoles et chantiers ont mis au jour 236 problèmes.</w:t>
      </w:r>
    </w:p>
    <w:p>
      <w:pPr>
        <w:spacing w:after="100"/>
        <w:numPr>
          <w:ilvl w:val="0"/>
          <w:numId w:val="10"/>
        </w:numPr>
      </w:pPr>
      <w:r>
        <w:rPr/>
        <w:t xml:space="preserve">78 problèmes ont été corrigés (33 %), dont 40 confirmés sur place par un second moniteur.</w:t>
      </w:r>
    </w:p>
    <w:p>
      <w:pPr>
        <w:spacing w:after="100"/>
        <w:numPr>
          <w:ilvl w:val="0"/>
          <w:numId w:val="10"/>
        </w:numPr>
      </w:pPr>
      <w:r>
        <w:rPr/>
        <w:t xml:space="preserve">La moitié des problèmes corrigés l’ont été dans les 71 jours suivant leur signalement.</w:t>
      </w:r>
    </w:p>
    <w:p>
      <w:pPr>
        <w:spacing w:after="100"/>
        <w:numPr>
          <w:ilvl w:val="0"/>
          <w:numId w:val="10"/>
        </w:numPr>
      </w:pPr>
      <w:r>
        <w:rPr/>
        <w:t xml:space="preserve">Les problèmes les plus fréquents concernent Matériaux et devis (26), Toilettes, eau et hygiène (22), Sécurité du chantier (22) : 30 % de l’ensemble des problèmes.</w:t>
      </w:r>
    </w:p>
    <w:p>
      <w:pPr>
        <w:spacing w:after="100"/>
        <w:numPr>
          <w:ilvl w:val="0"/>
          <w:numId w:val="10"/>
        </w:numPr>
      </w:pPr>
      <w:r>
        <w:rPr/>
        <w:t xml:space="preserve">Sud-Kivu concentre 61 % des problèmes signalés.</w:t>
      </w:r>
    </w:p>
    <w:p>
      <w:pPr>
        <w:spacing w:after="100"/>
        <w:numPr>
          <w:ilvl w:val="0"/>
          <w:numId w:val="10"/>
        </w:numPr>
      </w:pPr>
      <w:r>
        <w:rPr/>
        <w:t xml:space="preserve">93 problèmes dans 48 écoles ou chantiers sont restés sans réponse depuis plus de 14 jours.</w:t>
      </w:r>
    </w:p>
    <w:p>
      <w:pPr>
        <w:spacing w:after="100"/>
        <w:numPr>
          <w:ilvl w:val="0"/>
          <w:numId w:val="10"/>
        </w:numPr>
      </w:pPr>
      <w:r>
        <w:rPr/>
        <w:t xml:space="preserve">Problème récurrent : « Qualité des matériaux » reçoit la réponse « problème » dans 27 % des visites.</w:t>
      </w:r>
    </w:p>
    <w:p>
      <w:pPr>
        <w:pStyle w:val="Heading2"/>
      </w:pPr>
      <w:bookmarkStart w:id="1" w:name="_Toc1"/>
      <w:r>
        <w:t>Chiffres clés</w:t>
      </w:r>
      <w:bookmarkEnd w:id="1"/>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Problèmes signalés</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Problèmes corrigés</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Taux de correction</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Corrections vérifiées sur place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Écoles et chantiers visités</w:t>
            </w:r>
          </w:p>
        </w:tc>
        <w:tc>
          <w:tcPr>
            <w:tcW w:w="3288" w:type="dxa"/>
            <w:tcBorders>
              <w:left w:val="single" w:sz="36" w:color="c671ba"/>
            </w:tcBorders>
            <w:shd w:val="clear" w:fill="F6F6F4"/>
            <w:noWrap/>
          </w:tcPr>
          <w:p>
            <w:pPr>
              <w:spacing w:after="0"/>
            </w:pPr>
            <w:r>
              <w:rPr>
                <w:color w:val="3B3A5E"/>
                <w:sz w:val="40"/>
                <w:szCs w:val="40"/>
                <w:b w:val="1"/>
                <w:bCs w:val="1"/>
              </w:rPr>
              <w:t xml:space="preserve">71 jours</w:t>
            </w:r>
          </w:p>
          <w:p>
            <w:pPr>
              <w:spacing w:after="0"/>
            </w:pPr>
            <w:r>
              <w:rPr>
                <w:color w:val="868686"/>
                <w:sz w:val="16"/>
                <w:szCs w:val="16"/>
                <w:b w:val="1"/>
                <w:bCs w:val="1"/>
                <w:smallCaps w:val="0"/>
                <w:caps w:val="1"/>
              </w:rPr>
              <w:t xml:space="preserve">Délai médian de correction</w:t>
            </w:r>
          </w:p>
        </w:tc>
      </w:tr>
    </w:tbl>
    <w:p>
      <w:pPr>
        <w:pStyle w:val="Heading2"/>
      </w:pPr>
      <w:bookmarkStart w:id="2" w:name="_Toc2"/>
      <w:r>
        <w:t>Sommaire</w:t>
      </w:r>
      <w:bookmarkEnd w:id="2"/>
    </w:p>
    <w:p>
      <w:pPr>
        <w:spacing w:after="40"/>
      </w:pPr>
      <w:r>
        <w:rPr>
          <w:rStyle w:val="strong"/>
        </w:rPr>
        <w:t xml:space="preserve">1   </w:t>
      </w:r>
      <w:r>
        <w:rPr/>
        <w:t xml:space="preserve">À propos du CERC et d’EduCheck</w:t>
      </w:r>
    </w:p>
    <w:p>
      <w:pPr>
        <w:spacing w:after="40"/>
      </w:pPr>
      <w:r>
        <w:rPr>
          <w:rStyle w:val="strong"/>
        </w:rPr>
        <w:t xml:space="preserve">2   </w:t>
      </w:r>
      <w:r>
        <w:rPr/>
        <w:t xml:space="preserve">Fonctionnement</w:t>
      </w:r>
    </w:p>
    <w:p>
      <w:pPr>
        <w:spacing w:after="40"/>
      </w:pPr>
      <w:r>
        <w:rPr>
          <w:rStyle w:val="strong"/>
        </w:rPr>
        <w:t xml:space="preserve">3   </w:t>
      </w:r>
      <w:r>
        <w:rPr/>
        <w:t xml:space="preserve">Vue d’ensemble</w:t>
      </w:r>
    </w:p>
    <w:p>
      <w:pPr>
        <w:spacing w:after="40"/>
      </w:pPr>
      <w:r>
        <w:rPr>
          <w:rStyle w:val="strong"/>
        </w:rPr>
        <w:t xml:space="preserve">4   </w:t>
      </w:r>
      <w:r>
        <w:rPr/>
        <w:t xml:space="preserve">Ce que les moniteurs ont constaté</w:t>
      </w:r>
    </w:p>
    <w:p>
      <w:pPr>
        <w:spacing w:after="40"/>
      </w:pPr>
      <w:r>
        <w:rPr>
          <w:rStyle w:val="strong"/>
        </w:rPr>
        <w:t xml:space="preserve">5   </w:t>
      </w:r>
      <w:r>
        <w:rPr/>
        <w:t xml:space="preserve">Écoles et provinces</w:t>
      </w:r>
    </w:p>
    <w:p>
      <w:pPr>
        <w:spacing w:after="40"/>
      </w:pPr>
      <w:r>
        <w:rPr>
          <w:rStyle w:val="strong"/>
        </w:rPr>
        <w:t xml:space="preserve">6   </w:t>
      </w:r>
      <w:r>
        <w:rPr/>
        <w:t xml:space="preserve">Recommandations</w:t>
      </w:r>
    </w:p>
    <w:p>
      <w:pPr>
        <w:spacing w:after="40"/>
      </w:pPr>
      <w:r>
        <w:rPr>
          <w:rStyle w:val="strong"/>
        </w:rPr>
        <w:t xml:space="preserve">7   </w:t>
      </w:r>
      <w:r>
        <w:rPr/>
        <w:t xml:space="preserve">Méthodologie et limites</w:t>
      </w:r>
    </w:p>
    <w:p>
      <w:r>
        <w:br w:type="page"/>
      </w:r>
    </w:p>
    <w:p>
      <w:pPr/>
      <w:r>
        <w:rPr>
          <w:rStyle w:val="kicker"/>
        </w:rPr>
        <w:t xml:space="preserve">1</w:t>
      </w:r>
    </w:p>
    <w:p>
      <w:pPr>
        <w:pStyle w:val="Heading1"/>
      </w:pPr>
      <w:bookmarkStart w:id="3" w:name="_Toc3"/>
      <w:r>
        <w:t>À propos du CERC et d’EduCheck</w:t>
      </w:r>
      <w:bookmarkEnd w:id="3"/>
    </w:p>
    <w:p>
      <w:pPr/>
      <w:r>
        <w:rPr>
          <w:rStyle w:val="lead"/>
        </w:rPr>
        <w:t xml:space="preserve">EduCheck est le service de suivi citoyen des écoles du CERC. Élèves, parents et membres de la communauté, organisés en Clubs d’intégrité et formés par le CERC, visitent leurs écoles et les chantiers scolaires à l’aide d’un questionnaire commun. Chaque problème constaté est publié, transmis à la direction de l’école, puis vérifié sur place une fois corrigé.</w:t>
      </w:r>
    </w:p>
    <w:tbl>
      <w:tblGrid>
        <w:gridCol w:w="9864" w:type="dxa"/>
      </w:tblGrid>
      <w:tblPr>
        <w:tblW w:w="9864" w:type="dxa"/>
        <w:tblLayout w:type="autofit"/>
        <w:tblCellMar>
          <w:top w:w="160" w:type="dxa"/>
          <w:left w:w="160" w:type="dxa"/>
          <w:right w:w="160" w:type="dxa"/>
          <w:bottom w:w="160" w:type="dxa"/>
        </w:tblCellMar>
      </w:tblPr>
      <w:tr>
        <w:trPr/>
        <w:tc>
          <w:tcPr>
            <w:tcW w:w="9864" w:type="dxa"/>
            <w:shd w:val="clear" w:fill="3B3A5E"/>
            <w:noWrap/>
          </w:tcPr>
          <w:p>
            <w:pPr/>
            <w:r>
              <w:rPr>
                <w:color w:val="ECA327"/>
                <w:sz w:val="24"/>
                <w:szCs w:val="24"/>
                <w:b w:val="1"/>
                <w:bCs w:val="1"/>
              </w:rPr>
              <w:t xml:space="preserve">CERC</w:t>
            </w:r>
          </w:p>
          <w:p>
            <w:pPr/>
            <w:r>
              <w:rPr>
                <w:color w:val="FFFFFF"/>
              </w:rPr>
              <w:t xml:space="preserve">Le Centre de Recherche sur l’Anti-Corruption (CERC) est une organisation d’intérêt public basée à Kinshasa et à Bukavu. Il travaille avec les jeunes pour renforcer l’intégrité, la transparence et la bonne gouvernance en République démocratique du Congo.</w:t>
            </w:r>
          </w:p>
          <w:p>
            <w:pPr>
              <w:spacing w:after="0"/>
            </w:pPr>
            <w:r>
              <w:rPr>
                <w:color w:val="ECA327"/>
                <w:sz w:val="18"/>
                <w:szCs w:val="18"/>
                <w:b w:val="1"/>
                <w:bCs w:val="1"/>
              </w:rPr>
              <w:t xml:space="preserve">Kinshasa · Bukavu · info@cerc.cd</w:t>
            </w:r>
          </w:p>
        </w:tc>
      </w:tr>
    </w:tbl>
    <w:p>
      <w:pPr>
        <w:pStyle w:val="Heading2"/>
      </w:pPr>
      <w:bookmarkStart w:id="4" w:name="_Toc4"/>
      <w:r>
        <w:t>Le défi</w:t>
      </w:r>
      <w:bookmarkEnd w:id="4"/>
    </w:p>
    <w:p>
      <w:pPr/>
      <w:r>
        <w:rPr/>
        <w:t xml:space="preserve">Dans de nombreuses écoles, les problèmes restent invisibles pour les décideurs faute de canal d’information vérifiée venant du terrain : classes surchargées et sans mobilier, absence d’eau et de latrines séparées, manuels manquants, absentéisme des enseignants non suivi, locaux dangereux, exclusion des élèves en situation de handicap.</w:t>
      </w:r>
    </w:p>
    <w:p>
      <w:pPr>
        <w:pStyle w:val="Heading2"/>
      </w:pPr>
      <w:bookmarkStart w:id="5" w:name="_Toc5"/>
      <w:r>
        <w:t>Nos principes</w:t>
      </w:r>
      <w:bookmarkEnd w:id="5"/>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ECA327"/>
            </w:tcBorders>
            <w:noWrap/>
          </w:tcPr>
          <w:p>
            <w:pPr/>
            <w:r>
              <w:rPr>
                <w:color w:val="3B3A5E"/>
                <w:sz w:val="21"/>
                <w:szCs w:val="21"/>
                <w:b w:val="1"/>
                <w:bCs w:val="1"/>
              </w:rPr>
              <w:t xml:space="preserve">Transparence</w:t>
            </w:r>
          </w:p>
          <w:p>
            <w:pPr>
              <w:spacing w:after="0"/>
            </w:pPr>
            <w:r>
              <w:rPr>
                <w:sz w:val="18"/>
                <w:szCs w:val="18"/>
              </w:rPr>
              <w:t xml:space="preserve">Problèmes, corrections et chiffres sont publics et téléchargeables.</w:t>
            </w:r>
          </w:p>
        </w:tc>
        <w:tc>
          <w:tcPr>
            <w:tcW w:w="2466" w:type="dxa"/>
            <w:tcBorders>
              <w:top w:val="single" w:sz="18" w:color="ECA327"/>
            </w:tcBorders>
            <w:noWrap/>
          </w:tcPr>
          <w:p>
            <w:pPr/>
            <w:r>
              <w:rPr>
                <w:color w:val="3B3A5E"/>
                <w:sz w:val="21"/>
                <w:szCs w:val="21"/>
                <w:b w:val="1"/>
                <w:bCs w:val="1"/>
              </w:rPr>
              <w:t xml:space="preserve">Protection</w:t>
            </w:r>
          </w:p>
          <w:p>
            <w:pPr>
              <w:spacing w:after="0"/>
            </w:pPr>
            <w:r>
              <w:rPr>
                <w:sz w:val="18"/>
                <w:szCs w:val="18"/>
              </w:rPr>
              <w:t xml:space="preserve">Les moniteurs ne sont jamais nommés ; seul leur rôle apparaît.</w:t>
            </w:r>
          </w:p>
        </w:tc>
        <w:tc>
          <w:tcPr>
            <w:tcW w:w="2466" w:type="dxa"/>
            <w:tcBorders>
              <w:top w:val="single" w:sz="18" w:color="ECA327"/>
            </w:tcBorders>
            <w:noWrap/>
          </w:tcPr>
          <w:p>
            <w:pPr/>
            <w:r>
              <w:rPr>
                <w:color w:val="3B3A5E"/>
                <w:sz w:val="21"/>
                <w:szCs w:val="21"/>
                <w:b w:val="1"/>
                <w:bCs w:val="1"/>
              </w:rPr>
              <w:t xml:space="preserve">Dialogue</w:t>
            </w:r>
          </w:p>
          <w:p>
            <w:pPr>
              <w:spacing w:after="0"/>
            </w:pPr>
            <w:r>
              <w:rPr>
                <w:sz w:val="18"/>
                <w:szCs w:val="18"/>
              </w:rPr>
              <w:t xml:space="preserve">Le but est la solution, pas la sanction.</w:t>
            </w:r>
          </w:p>
        </w:tc>
        <w:tc>
          <w:tcPr>
            <w:tcW w:w="2466" w:type="dxa"/>
            <w:tcBorders>
              <w:top w:val="single" w:sz="18" w:color="ECA327"/>
            </w:tcBorders>
            <w:noWrap/>
          </w:tcPr>
          <w:p>
            <w:pPr/>
            <w:r>
              <w:rPr>
                <w:color w:val="3B3A5E"/>
                <w:sz w:val="21"/>
                <w:szCs w:val="21"/>
                <w:b w:val="1"/>
                <w:bCs w:val="1"/>
              </w:rPr>
              <w:t xml:space="preserve">Vérification</w:t>
            </w:r>
          </w:p>
          <w:p>
            <w:pPr>
              <w:spacing w:after="0"/>
            </w:pPr>
            <w:r>
              <w:rPr>
                <w:sz w:val="18"/>
                <w:szCs w:val="18"/>
              </w:rPr>
              <w:t xml:space="preserve">Une correction ne compte qu’une fois confirmée sur place.</w:t>
            </w:r>
          </w:p>
        </w:tc>
      </w:tr>
    </w:tbl>
    <w:p>
      <w:r>
        <w:br w:type="page"/>
      </w:r>
    </w:p>
    <w:p>
      <w:pPr/>
      <w:r>
        <w:rPr>
          <w:rStyle w:val="kicker"/>
        </w:rPr>
        <w:t xml:space="preserve">2</w:t>
      </w:r>
    </w:p>
    <w:p>
      <w:pPr>
        <w:pStyle w:val="Heading1"/>
      </w:pPr>
      <w:bookmarkStart w:id="6" w:name="_Toc6"/>
      <w:r>
        <w:t>Fonctionnement</w:t>
      </w:r>
      <w:bookmarkEnd w:id="6"/>
    </w:p>
    <w:p>
      <w:pPr/>
      <w:r>
        <w:rPr>
          <w:rStyle w:val="lead"/>
        </w:rPr>
        <w:t xml:space="preserve">Notre approche : cinq étapes, une boucle</w:t>
      </w:r>
    </w:p>
    <w:p>
      <w:pPr/>
      <w:r>
        <w:rPr/>
        <w:t xml:space="preserve">Chaque étape prépare la suivante : les élèves formés observent, les données circulent, le dialogue mène à la réparation et la vérification sur place boucle la boucle.</w:t>
      </w:r>
    </w:p>
    <w:tbl>
      <w:tblGrid>
        <w:gridCol w:w="680.3149606299213" w:type="dxa"/>
        <w:gridCol w:w="9183.685039370079" w:type="dxa"/>
      </w:tblGrid>
      <w:tblPr>
        <w:tblW w:w="9864" w:type="dxa"/>
        <w:tblLayout w:type="autofit"/>
        <w:tblCellMar>
          <w:top w:w="100" w:type="dxa"/>
          <w:left w:w="100" w:type="dxa"/>
          <w:right w:w="100" w:type="dxa"/>
          <w:bottom w:w="100" w:type="dxa"/>
        </w:tblCellMar>
      </w:tblPr>
      <w:tr>
        <w:trPr/>
        <w:tc>
          <w:tcPr>
            <w:tcW w:w="680.3149606299213" w:type="dxa"/>
            <w:vAlign w:val="center"/>
            <w:shd w:val="clear" w:fill="ECA327"/>
            <w:noWrap/>
          </w:tcPr>
          <w:p>
            <w:pPr>
              <w:jc w:val="center"/>
              <w:spacing w:after="0"/>
            </w:pPr>
            <w:r>
              <w:rPr>
                <w:color w:val="FFFFFF"/>
                <w:sz w:val="26"/>
                <w:szCs w:val="26"/>
                <w:b w:val="1"/>
                <w:bCs w:val="1"/>
              </w:rPr>
              <w:t xml:space="preserve">1</w:t>
            </w:r>
          </w:p>
        </w:tc>
        <w:tc>
          <w:tcPr>
            <w:tcW w:w="9183.685039370079" w:type="dxa"/>
            <w:tcBorders>
              <w:bottom w:val="single" w:sz="4" w:color="D8D6CC"/>
            </w:tcBorders>
            <w:noWrap/>
          </w:tcPr>
          <w:p>
            <w:pPr>
              <w:spacing w:after="0"/>
            </w:pPr>
            <w:r>
              <w:rPr>
                <w:color w:val="3B3A5E"/>
                <w:sz w:val="22"/>
                <w:szCs w:val="22"/>
                <w:b w:val="1"/>
                <w:bCs w:val="1"/>
              </w:rPr>
              <w:t xml:space="preserve">Former</w:t>
            </w:r>
          </w:p>
          <w:p>
            <w:pPr>
              <w:spacing w:after="0"/>
            </w:pPr>
            <w:r>
              <w:rPr/>
              <w:t xml:space="preserve">Les moniteurs sont formés au suivi citoyen, à l’observation objective, à l’éthique de la collecte de données et à l’application EduCheck.</w:t>
            </w:r>
          </w:p>
        </w:tc>
      </w:tr>
      <w:tr>
        <w:trPr/>
        <w:tc>
          <w:tcPr>
            <w:tcW w:w="680.3149606299213" w:type="dxa"/>
            <w:vAlign w:val="center"/>
            <w:shd w:val="clear" w:fill="ECA327"/>
            <w:noWrap/>
          </w:tcPr>
          <w:p>
            <w:pPr>
              <w:jc w:val="center"/>
              <w:spacing w:after="0"/>
            </w:pPr>
            <w:r>
              <w:rPr>
                <w:color w:val="FFFFFF"/>
                <w:sz w:val="26"/>
                <w:szCs w:val="26"/>
                <w:b w:val="1"/>
                <w:bCs w:val="1"/>
              </w:rPr>
              <w:t xml:space="preserve">2</w:t>
            </w:r>
          </w:p>
        </w:tc>
        <w:tc>
          <w:tcPr>
            <w:tcW w:w="9183.685039370079" w:type="dxa"/>
            <w:tcBorders>
              <w:bottom w:val="single" w:sz="4" w:color="D8D6CC"/>
            </w:tcBorders>
            <w:noWrap/>
          </w:tcPr>
          <w:p>
            <w:pPr>
              <w:spacing w:after="0"/>
            </w:pPr>
            <w:r>
              <w:rPr>
                <w:color w:val="3B3A5E"/>
                <w:sz w:val="22"/>
                <w:szCs w:val="22"/>
                <w:b w:val="1"/>
                <w:bCs w:val="1"/>
              </w:rPr>
              <w:t xml:space="preserve">Observer</w:t>
            </w:r>
          </w:p>
          <w:p>
            <w:pPr>
              <w:spacing w:after="0"/>
            </w:pPr>
            <w:r>
              <w:rPr/>
              <w:t xml:space="preserve">Lors de visites régulières, toujours en binôme, ils remplissent un questionnaire commun à toutes les écoles, prennent des photos et des notes.</w:t>
            </w:r>
          </w:p>
        </w:tc>
      </w:tr>
      <w:tr>
        <w:trPr/>
        <w:tc>
          <w:tcPr>
            <w:tcW w:w="680.3149606299213" w:type="dxa"/>
            <w:vAlign w:val="center"/>
            <w:shd w:val="clear" w:fill="ECA327"/>
            <w:noWrap/>
          </w:tcPr>
          <w:p>
            <w:pPr>
              <w:jc w:val="center"/>
              <w:spacing w:after="0"/>
            </w:pPr>
            <w:r>
              <w:rPr>
                <w:color w:val="FFFFFF"/>
                <w:sz w:val="26"/>
                <w:szCs w:val="26"/>
                <w:b w:val="1"/>
                <w:bCs w:val="1"/>
              </w:rPr>
              <w:t xml:space="preserve">3</w:t>
            </w:r>
          </w:p>
        </w:tc>
        <w:tc>
          <w:tcPr>
            <w:tcW w:w="9183.685039370079" w:type="dxa"/>
            <w:tcBorders>
              <w:bottom w:val="single" w:sz="4" w:color="D8D6CC"/>
            </w:tcBorders>
            <w:noWrap/>
          </w:tcPr>
          <w:p>
            <w:pPr>
              <w:spacing w:after="0"/>
            </w:pPr>
            <w:r>
              <w:rPr>
                <w:color w:val="3B3A5E"/>
                <w:sz w:val="22"/>
                <w:szCs w:val="22"/>
                <w:b w:val="1"/>
                <w:bCs w:val="1"/>
              </w:rPr>
              <w:t xml:space="preserve">Publier</w:t>
            </w:r>
          </w:p>
          <w:p>
            <w:pPr>
              <w:spacing w:after="0"/>
            </w:pPr>
            <w:r>
              <w:rPr/>
              <w:t xml:space="preserve">Chaque réponse « non » devient un problème publié sur EduCheck et sur le tableau d’affichage de l’école ; la direction de l’école en est informée.</w:t>
            </w:r>
          </w:p>
        </w:tc>
      </w:tr>
      <w:tr>
        <w:trPr/>
        <w:tc>
          <w:tcPr>
            <w:tcW w:w="680.3149606299213" w:type="dxa"/>
            <w:vAlign w:val="center"/>
            <w:shd w:val="clear" w:fill="ECA327"/>
            <w:noWrap/>
          </w:tcPr>
          <w:p>
            <w:pPr>
              <w:jc w:val="center"/>
              <w:spacing w:after="0"/>
            </w:pPr>
            <w:r>
              <w:rPr>
                <w:color w:val="FFFFFF"/>
                <w:sz w:val="26"/>
                <w:szCs w:val="26"/>
                <w:b w:val="1"/>
                <w:bCs w:val="1"/>
              </w:rPr>
              <w:t xml:space="preserve">4</w:t>
            </w:r>
          </w:p>
        </w:tc>
        <w:tc>
          <w:tcPr>
            <w:tcW w:w="9183.685039370079" w:type="dxa"/>
            <w:tcBorders>
              <w:bottom w:val="single" w:sz="4" w:color="D8D6CC"/>
            </w:tcBorders>
            <w:noWrap/>
          </w:tcPr>
          <w:p>
            <w:pPr>
              <w:spacing w:after="0"/>
            </w:pPr>
            <w:r>
              <w:rPr>
                <w:color w:val="3B3A5E"/>
                <w:sz w:val="22"/>
                <w:szCs w:val="22"/>
                <w:b w:val="1"/>
                <w:bCs w:val="1"/>
              </w:rPr>
              <w:t xml:space="preserve">Dialogue</w:t>
            </w:r>
          </w:p>
          <w:p>
            <w:pPr>
              <w:spacing w:after="0"/>
            </w:pPr>
            <w:r>
              <w:rPr/>
              <w:t xml:space="preserve">Les élèves présentent les faits aux chefs d’établissement, aux parents et aux autorités, et conviennent ensemble d’un plan de réparation.</w:t>
            </w:r>
          </w:p>
        </w:tc>
      </w:tr>
      <w:tr>
        <w:trPr/>
        <w:tc>
          <w:tcPr>
            <w:tcW w:w="680.3149606299213" w:type="dxa"/>
            <w:vAlign w:val="center"/>
            <w:shd w:val="clear" w:fill="ECA327"/>
            <w:noWrap/>
          </w:tcPr>
          <w:p>
            <w:pPr>
              <w:jc w:val="center"/>
              <w:spacing w:after="0"/>
            </w:pPr>
            <w:r>
              <w:rPr>
                <w:color w:val="FFFFFF"/>
                <w:sz w:val="26"/>
                <w:szCs w:val="26"/>
                <w:b w:val="1"/>
                <w:bCs w:val="1"/>
              </w:rPr>
              <w:t xml:space="preserve">5</w:t>
            </w:r>
          </w:p>
        </w:tc>
        <w:tc>
          <w:tcPr>
            <w:tcW w:w="9183.685039370079" w:type="dxa"/>
            <w:tcBorders>
              <w:bottom w:val="single" w:sz="4" w:color="D8D6CC"/>
            </w:tcBorders>
            <w:noWrap/>
          </w:tcPr>
          <w:p>
            <w:pPr>
              <w:spacing w:after="0"/>
            </w:pPr>
            <w:r>
              <w:rPr>
                <w:color w:val="3B3A5E"/>
                <w:sz w:val="22"/>
                <w:szCs w:val="22"/>
                <w:b w:val="1"/>
                <w:bCs w:val="1"/>
              </w:rPr>
              <w:t xml:space="preserve">Vérifier</w:t>
            </w:r>
          </w:p>
          <w:p>
            <w:pPr>
              <w:spacing w:after="0"/>
            </w:pPr>
            <w:r>
              <w:rPr/>
              <w:t xml:space="preserve">Un moniteur enregistre la correction, un second la confirme sur place. Les réussites sont mises en avant autant que les problèmes.</w:t>
            </w:r>
          </w:p>
        </w:tc>
      </w:tr>
    </w:tbl>
    <w:p>
      <w:pPr>
        <w:pStyle w:val="Heading2"/>
      </w:pPr>
      <w:bookmarkStart w:id="7" w:name="_Toc7"/>
      <w:r>
        <w:t>Ce que changent les Clubs d’intégrité</w:t>
      </w:r>
      <w:bookmarkEnd w:id="7"/>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439B73"/>
            </w:tcBorders>
            <w:noWrap/>
          </w:tcPr>
          <w:p>
            <w:pPr/>
            <w:r>
              <w:rPr>
                <w:color w:val="3B3A5E"/>
                <w:sz w:val="21"/>
                <w:szCs w:val="21"/>
                <w:b w:val="1"/>
                <w:bCs w:val="1"/>
              </w:rPr>
              <w:t xml:space="preserve">Plus de redevabilité</w:t>
            </w:r>
          </w:p>
          <w:p>
            <w:pPr>
              <w:spacing w:after="0"/>
            </w:pPr>
            <w:r>
              <w:rPr>
                <w:sz w:val="18"/>
                <w:szCs w:val="18"/>
              </w:rPr>
              <w:t xml:space="preserve">La direction de l’école répond davantage aux demandes des élèves et des parents.</w:t>
            </w:r>
          </w:p>
        </w:tc>
        <w:tc>
          <w:tcPr>
            <w:tcW w:w="2466" w:type="dxa"/>
            <w:tcBorders>
              <w:top w:val="single" w:sz="18" w:color="439B73"/>
            </w:tcBorders>
            <w:noWrap/>
          </w:tcPr>
          <w:p>
            <w:pPr/>
            <w:r>
              <w:rPr>
                <w:color w:val="3B3A5E"/>
                <w:sz w:val="21"/>
                <w:szCs w:val="21"/>
                <w:b w:val="1"/>
                <w:bCs w:val="1"/>
              </w:rPr>
              <w:t xml:space="preserve">Une meilleure école</w:t>
            </w:r>
          </w:p>
          <w:p>
            <w:pPr>
              <w:spacing w:after="0"/>
            </w:pPr>
            <w:r>
              <w:rPr>
                <w:sz w:val="18"/>
                <w:szCs w:val="18"/>
              </w:rPr>
              <w:t xml:space="preserve">Infrastructures, présence des enseignants, utilisation du budget : les clubs obtiennent des améliorations concrètes.</w:t>
            </w:r>
          </w:p>
        </w:tc>
        <w:tc>
          <w:tcPr>
            <w:tcW w:w="2466" w:type="dxa"/>
            <w:tcBorders>
              <w:top w:val="single" w:sz="18" w:color="439B73"/>
            </w:tcBorders>
            <w:noWrap/>
          </w:tcPr>
          <w:p>
            <w:pPr/>
            <w:r>
              <w:rPr>
                <w:color w:val="3B3A5E"/>
                <w:sz w:val="21"/>
                <w:szCs w:val="21"/>
                <w:b w:val="1"/>
                <w:bCs w:val="1"/>
              </w:rPr>
              <w:t xml:space="preserve">Des élèves qui grandissent</w:t>
            </w:r>
          </w:p>
          <w:p>
            <w:pPr>
              <w:spacing w:after="0"/>
            </w:pPr>
            <w:r>
              <w:rPr>
                <w:sz w:val="18"/>
                <w:szCs w:val="18"/>
              </w:rPr>
              <w:t xml:space="preserve">Confiance en soi, leadership, résolution de problèmes, connaissance de leurs droits.</w:t>
            </w:r>
          </w:p>
        </w:tc>
        <w:tc>
          <w:tcPr>
            <w:tcW w:w="2466" w:type="dxa"/>
            <w:tcBorders>
              <w:top w:val="single" w:sz="18" w:color="439B73"/>
            </w:tcBorders>
            <w:noWrap/>
          </w:tcPr>
          <w:p>
            <w:pPr/>
            <w:r>
              <w:rPr>
                <w:color w:val="3B3A5E"/>
                <w:sz w:val="21"/>
                <w:szCs w:val="21"/>
                <w:b w:val="1"/>
                <w:bCs w:val="1"/>
              </w:rPr>
              <w:t xml:space="preserve">Plus de confiance</w:t>
            </w:r>
          </w:p>
          <w:p>
            <w:pPr>
              <w:spacing w:after="0"/>
            </w:pPr>
            <w:r>
              <w:rPr>
                <w:sz w:val="18"/>
                <w:szCs w:val="18"/>
              </w:rPr>
              <w:t xml:space="preserve">Un dialogue constructif entre les élèves et la direction de l’école, et une communauté plus engagée.</w:t>
            </w:r>
          </w:p>
        </w:tc>
      </w:tr>
    </w:tbl>
    <w:p>
      <w:r>
        <w:br w:type="page"/>
      </w:r>
    </w:p>
    <w:p>
      <w:pPr/>
      <w:r>
        <w:rPr>
          <w:rStyle w:val="kicker"/>
        </w:rPr>
        <w:t xml:space="preserve">3</w:t>
      </w:r>
    </w:p>
    <w:p>
      <w:pPr>
        <w:pStyle w:val="Heading1"/>
      </w:pPr>
      <w:bookmarkStart w:id="8" w:name="_Toc8"/>
      <w:r>
        <w:t>Vue d’ensemble</w:t>
      </w:r>
      <w:bookmarkEnd w:id="8"/>
    </w:p>
    <w:p>
      <w:pPr>
        <w:pStyle w:val="Heading2"/>
      </w:pPr>
      <w:bookmarkStart w:id="9" w:name="_Toc9"/>
      <w:r>
        <w:t>État des problèmes</w:t>
      </w:r>
      <w:bookmarkEnd w:id="9"/>
    </w:p>
    <w:p>
      <w:r>
        <w:drawing>
          <wp:inline>
            <wp:extent cx="5760000" cy="2700000"/>
            <wp:docPr id="12" name="Chart12"/>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État des problèmes</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Part</w:t>
            </w:r>
          </w:p>
        </w:tc>
      </w:tr>
      <w:tr>
        <w:trPr/>
        <w:tc>
          <w:tcPr>
            <w:tcW w:w="6510" w:type="dxa"/>
            <w:noWrap/>
          </w:tcPr>
          <w:p>
            <w:pPr>
              <w:jc w:val="start"/>
              <w:spacing w:after="0"/>
            </w:pPr>
            <w:r>
              <w:rPr>
                <w:sz w:val="18"/>
                <w:szCs w:val="18"/>
              </w:rPr>
              <w:t xml:space="preserve">Signalé, en attente de réponse</w:t>
            </w:r>
          </w:p>
        </w:tc>
        <w:tc>
          <w:tcPr>
            <w:tcW w:w="1676" w:type="dxa"/>
            <w:noWrap/>
          </w:tcPr>
          <w:p>
            <w:pPr>
              <w:jc w:val="end"/>
              <w:spacing w:after="0"/>
            </w:pPr>
            <w:r>
              <w:rPr>
                <w:color w:val="3B3A5E"/>
                <w:sz w:val="18"/>
                <w:szCs w:val="18"/>
                <w:b w:val="1"/>
                <w:bCs w:val="1"/>
              </w:rPr>
              <w:t xml:space="preserve">98</w:t>
            </w:r>
          </w:p>
        </w:tc>
        <w:tc>
          <w:tcPr>
            <w:tcW w:w="1676" w:type="dxa"/>
            <w:noWrap/>
          </w:tcPr>
          <w:p>
            <w:pPr>
              <w:jc w:val="end"/>
              <w:spacing w:after="0"/>
            </w:pPr>
            <w:r>
              <w:rPr>
                <w:color w:val="3B3A5E"/>
                <w:sz w:val="18"/>
                <w:szCs w:val="18"/>
                <w:b w:val="1"/>
                <w:bCs w:val="1"/>
              </w:rPr>
              <w:t xml:space="preserve">42 %</w:t>
            </w:r>
          </w:p>
        </w:tc>
      </w:tr>
      <w:tr>
        <w:trPr/>
        <w:tc>
          <w:tcPr>
            <w:tcW w:w="6510" w:type="dxa"/>
            <w:shd w:val="clear" w:fill="FAF9F6"/>
            <w:noWrap/>
          </w:tcPr>
          <w:p>
            <w:pPr>
              <w:jc w:val="start"/>
              <w:spacing w:after="0"/>
            </w:pPr>
            <w:r>
              <w:rPr>
                <w:sz w:val="18"/>
                <w:szCs w:val="18"/>
              </w:rPr>
              <w:t xml:space="preserve">Reconnu par l’école</w:t>
            </w:r>
          </w:p>
        </w:tc>
        <w:tc>
          <w:tcPr>
            <w:tcW w:w="1676" w:type="dxa"/>
            <w:shd w:val="clear" w:fill="FAF9F6"/>
            <w:noWrap/>
          </w:tcPr>
          <w:p>
            <w:pPr>
              <w:jc w:val="end"/>
              <w:spacing w:after="0"/>
            </w:pPr>
            <w:r>
              <w:rPr>
                <w:color w:val="3B3A5E"/>
                <w:sz w:val="18"/>
                <w:szCs w:val="18"/>
                <w:b w:val="1"/>
                <w:bCs w:val="1"/>
              </w:rPr>
              <w:t xml:space="preserve">53</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Corrigé, à vérifier</w:t>
            </w:r>
          </w:p>
        </w:tc>
        <w:tc>
          <w:tcPr>
            <w:tcW w:w="1676" w:type="dxa"/>
            <w:noWrap/>
          </w:tcPr>
          <w:p>
            <w:pPr>
              <w:jc w:val="end"/>
              <w:spacing w:after="0"/>
            </w:pPr>
            <w:r>
              <w:rPr>
                <w:color w:val="3B3A5E"/>
                <w:sz w:val="18"/>
                <w:szCs w:val="18"/>
                <w:b w:val="1"/>
                <w:bCs w:val="1"/>
              </w:rPr>
              <w:t xml:space="preserve">38</w:t>
            </w:r>
          </w:p>
        </w:tc>
        <w:tc>
          <w:tcPr>
            <w:tcW w:w="1676" w:type="dxa"/>
            <w:noWrap/>
          </w:tcPr>
          <w:p>
            <w:pPr>
              <w:jc w:val="end"/>
              <w:spacing w:after="0"/>
            </w:pPr>
            <w:r>
              <w:rPr>
                <w:color w:val="3B3A5E"/>
                <w:sz w:val="18"/>
                <w:szCs w:val="18"/>
                <w:b w:val="1"/>
                <w:bCs w:val="1"/>
              </w:rPr>
              <w:t xml:space="preserve">16 %</w:t>
            </w:r>
          </w:p>
        </w:tc>
      </w:tr>
      <w:tr>
        <w:trPr/>
        <w:tc>
          <w:tcPr>
            <w:tcW w:w="6510" w:type="dxa"/>
            <w:shd w:val="clear" w:fill="FAF9F6"/>
            <w:noWrap/>
          </w:tcPr>
          <w:p>
            <w:pPr>
              <w:jc w:val="start"/>
              <w:spacing w:after="0"/>
            </w:pPr>
            <w:r>
              <w:rPr>
                <w:sz w:val="18"/>
                <w:szCs w:val="18"/>
              </w:rPr>
              <w:t xml:space="preserve">Corrigé et vérifié</w:t>
            </w:r>
          </w:p>
        </w:tc>
        <w:tc>
          <w:tcPr>
            <w:tcW w:w="1676" w:type="dxa"/>
            <w:shd w:val="clear" w:fill="FAF9F6"/>
            <w:noWrap/>
          </w:tcPr>
          <w:p>
            <w:pPr>
              <w:jc w:val="end"/>
              <w:spacing w:after="0"/>
            </w:pPr>
            <w:r>
              <w:rPr>
                <w:color w:val="3B3A5E"/>
                <w:sz w:val="18"/>
                <w:szCs w:val="18"/>
                <w:b w:val="1"/>
                <w:bCs w:val="1"/>
              </w:rPr>
              <w:t xml:space="preserve">40</w:t>
            </w:r>
          </w:p>
        </w:tc>
        <w:tc>
          <w:tcPr>
            <w:tcW w:w="1676" w:type="dxa"/>
            <w:shd w:val="clear" w:fill="FAF9F6"/>
            <w:noWrap/>
          </w:tcPr>
          <w:p>
            <w:pPr>
              <w:jc w:val="end"/>
              <w:spacing w:after="0"/>
            </w:pPr>
            <w:r>
              <w:rPr>
                <w:color w:val="3B3A5E"/>
                <w:sz w:val="18"/>
                <w:szCs w:val="18"/>
                <w:b w:val="1"/>
                <w:bCs w:val="1"/>
              </w:rPr>
              <w:t xml:space="preserve">17 %</w:t>
            </w:r>
          </w:p>
        </w:tc>
      </w:tr>
      <w:tr>
        <w:trPr/>
        <w:tc>
          <w:tcPr>
            <w:tcW w:w="6510" w:type="dxa"/>
            <w:noWrap/>
          </w:tcPr>
          <w:p>
            <w:pPr>
              <w:jc w:val="start"/>
              <w:spacing w:after="0"/>
            </w:pPr>
            <w:r>
              <w:rPr>
                <w:sz w:val="18"/>
                <w:szCs w:val="18"/>
              </w:rPr>
              <w:t xml:space="preserve">Rouvert</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bl>
    <w:p>
      <w:pPr>
        <w:rPr>
          <w:sz w:val="8"/>
          <w:szCs w:val="8"/>
        </w:rPr>
      </w:pPr>
    </w:p>
    <w:p>
      <w:pPr>
        <w:pStyle w:val="Heading2"/>
      </w:pPr>
      <w:bookmarkStart w:id="10" w:name="_Toc10"/>
      <w:r>
        <w:t>Problèmes signalés et corrigés par mois</w:t>
      </w:r>
      <w:bookmarkEnd w:id="10"/>
    </w:p>
    <w:p>
      <w:r>
        <w:drawing>
          <wp:inline>
            <wp:extent cx="6120000" cy="2700000"/>
            <wp:docPr id="13" name="Chart13"/>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
        <w:br w:type="page"/>
      </w:r>
    </w:p>
    <w:p>
      <w:pPr/>
      <w:r>
        <w:rPr>
          <w:rStyle w:val="kicker"/>
        </w:rPr>
        <w:t xml:space="preserve">4</w:t>
      </w:r>
    </w:p>
    <w:p>
      <w:pPr>
        <w:pStyle w:val="Heading1"/>
      </w:pPr>
      <w:bookmarkStart w:id="11" w:name="_Toc11"/>
      <w:r>
        <w:t>Ce que les moniteurs ont constaté</w:t>
      </w:r>
      <w:bookmarkEnd w:id="11"/>
    </w:p>
    <w:p>
      <w:pPr>
        <w:pStyle w:val="Heading2"/>
      </w:pPr>
      <w:bookmarkStart w:id="12" w:name="_Toc12"/>
      <w:r>
        <w:t>Problèmes par catégorie</w:t>
      </w:r>
      <w:bookmarkEnd w:id="12"/>
    </w:p>
    <w:p>
      <w:r>
        <w:drawing>
          <wp:inline>
            <wp:extent cx="6120000" cy="3456000"/>
            <wp:docPr id="14" name="Chart14"/>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Catégorie</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Part</w:t>
            </w:r>
          </w:p>
        </w:tc>
      </w:tr>
      <w:tr>
        <w:trPr/>
        <w:tc>
          <w:tcPr>
            <w:tcW w:w="6510" w:type="dxa"/>
            <w:noWrap/>
          </w:tcPr>
          <w:p>
            <w:pPr>
              <w:jc w:val="start"/>
              <w:spacing w:after="0"/>
            </w:pPr>
            <w:r>
              <w:rPr>
                <w:sz w:val="18"/>
                <w:szCs w:val="18"/>
              </w:rPr>
              <w:t xml:space="preserve">Matériaux et devis</w:t>
            </w:r>
          </w:p>
        </w:tc>
        <w:tc>
          <w:tcPr>
            <w:tcW w:w="1676" w:type="dxa"/>
            <w:noWrap/>
          </w:tcPr>
          <w:p>
            <w:pPr>
              <w:jc w:val="end"/>
              <w:spacing w:after="0"/>
            </w:pPr>
            <w:r>
              <w:rPr>
                <w:color w:val="3B3A5E"/>
                <w:sz w:val="18"/>
                <w:szCs w:val="18"/>
                <w:b w:val="1"/>
                <w:bCs w:val="1"/>
              </w:rPr>
              <w:t xml:space="preserve">26</w:t>
            </w:r>
          </w:p>
        </w:tc>
        <w:tc>
          <w:tcPr>
            <w:tcW w:w="1676" w:type="dxa"/>
            <w:noWrap/>
          </w:tcPr>
          <w:p>
            <w:pPr>
              <w:jc w:val="end"/>
              <w:spacing w:after="0"/>
            </w:pPr>
            <w:r>
              <w:rPr>
                <w:color w:val="3B3A5E"/>
                <w:sz w:val="18"/>
                <w:szCs w:val="18"/>
                <w:b w:val="1"/>
                <w:bCs w:val="1"/>
              </w:rPr>
              <w:t xml:space="preserve">11 %</w:t>
            </w:r>
          </w:p>
        </w:tc>
      </w:tr>
      <w:tr>
        <w:trPr/>
        <w:tc>
          <w:tcPr>
            <w:tcW w:w="6510" w:type="dxa"/>
            <w:shd w:val="clear" w:fill="FAF9F6"/>
            <w:noWrap/>
          </w:tcPr>
          <w:p>
            <w:pPr>
              <w:jc w:val="start"/>
              <w:spacing w:after="0"/>
            </w:pPr>
            <w:r>
              <w:rPr>
                <w:sz w:val="18"/>
                <w:szCs w:val="18"/>
              </w:rPr>
              <w:t xml:space="preserve">Toilettes, eau et hygiène</w:t>
            </w:r>
          </w:p>
        </w:tc>
        <w:tc>
          <w:tcPr>
            <w:tcW w:w="1676" w:type="dxa"/>
            <w:shd w:val="clear" w:fill="FAF9F6"/>
            <w:noWrap/>
          </w:tcPr>
          <w:p>
            <w:pPr>
              <w:jc w:val="end"/>
              <w:spacing w:after="0"/>
            </w:pPr>
            <w:r>
              <w:rPr>
                <w:color w:val="3B3A5E"/>
                <w:sz w:val="18"/>
                <w:szCs w:val="18"/>
                <w:b w:val="1"/>
                <w:bCs w:val="1"/>
              </w:rPr>
              <w:t xml:space="preserve">22</w:t>
            </w:r>
          </w:p>
        </w:tc>
        <w:tc>
          <w:tcPr>
            <w:tcW w:w="1676" w:type="dxa"/>
            <w:shd w:val="clear" w:fill="FAF9F6"/>
            <w:noWrap/>
          </w:tcPr>
          <w:p>
            <w:pPr>
              <w:jc w:val="end"/>
              <w:spacing w:after="0"/>
            </w:pPr>
            <w:r>
              <w:rPr>
                <w:color w:val="3B3A5E"/>
                <w:sz w:val="18"/>
                <w:szCs w:val="18"/>
                <w:b w:val="1"/>
                <w:bCs w:val="1"/>
              </w:rPr>
              <w:t xml:space="preserve">9 %</w:t>
            </w:r>
          </w:p>
        </w:tc>
      </w:tr>
      <w:tr>
        <w:trPr/>
        <w:tc>
          <w:tcPr>
            <w:tcW w:w="6510" w:type="dxa"/>
            <w:noWrap/>
          </w:tcPr>
          <w:p>
            <w:pPr>
              <w:jc w:val="start"/>
              <w:spacing w:after="0"/>
            </w:pPr>
            <w:r>
              <w:rPr>
                <w:sz w:val="18"/>
                <w:szCs w:val="18"/>
              </w:rPr>
              <w:t xml:space="preserve">Sécurité du chantier</w:t>
            </w:r>
          </w:p>
        </w:tc>
        <w:tc>
          <w:tcPr>
            <w:tcW w:w="1676" w:type="dxa"/>
            <w:noWrap/>
          </w:tcPr>
          <w:p>
            <w:pPr>
              <w:jc w:val="end"/>
              <w:spacing w:after="0"/>
            </w:pPr>
            <w:r>
              <w:rPr>
                <w:color w:val="3B3A5E"/>
                <w:sz w:val="18"/>
                <w:szCs w:val="18"/>
                <w:b w:val="1"/>
                <w:bCs w:val="1"/>
              </w:rPr>
              <w:t xml:space="preserve">22</w:t>
            </w:r>
          </w:p>
        </w:tc>
        <w:tc>
          <w:tcPr>
            <w:tcW w:w="1676" w:type="dxa"/>
            <w:noWrap/>
          </w:tcPr>
          <w:p>
            <w:pPr>
              <w:jc w:val="end"/>
              <w:spacing w:after="0"/>
            </w:pPr>
            <w:r>
              <w:rPr>
                <w:color w:val="3B3A5E"/>
                <w:sz w:val="18"/>
                <w:szCs w:val="18"/>
                <w:b w:val="1"/>
                <w:bCs w:val="1"/>
              </w:rPr>
              <w:t xml:space="preserve">9 %</w:t>
            </w:r>
          </w:p>
        </w:tc>
      </w:tr>
      <w:tr>
        <w:trPr/>
        <w:tc>
          <w:tcPr>
            <w:tcW w:w="6510" w:type="dxa"/>
            <w:shd w:val="clear" w:fill="FAF9F6"/>
            <w:noWrap/>
          </w:tcPr>
          <w:p>
            <w:pPr>
              <w:jc w:val="start"/>
              <w:spacing w:after="0"/>
            </w:pPr>
            <w:r>
              <w:rPr>
                <w:sz w:val="18"/>
                <w:szCs w:val="18"/>
              </w:rPr>
              <w:t xml:space="preserve">Qualité des travaux</w:t>
            </w:r>
          </w:p>
        </w:tc>
        <w:tc>
          <w:tcPr>
            <w:tcW w:w="1676" w:type="dxa"/>
            <w:shd w:val="clear" w:fill="FAF9F6"/>
            <w:noWrap/>
          </w:tcPr>
          <w:p>
            <w:pPr>
              <w:jc w:val="end"/>
              <w:spacing w:after="0"/>
            </w:pPr>
            <w:r>
              <w:rPr>
                <w:color w:val="3B3A5E"/>
                <w:sz w:val="18"/>
                <w:szCs w:val="18"/>
                <w:b w:val="1"/>
                <w:bCs w:val="1"/>
              </w:rPr>
              <w:t xml:space="preserve">20</w:t>
            </w:r>
          </w:p>
        </w:tc>
        <w:tc>
          <w:tcPr>
            <w:tcW w:w="1676" w:type="dxa"/>
            <w:shd w:val="clear" w:fill="FAF9F6"/>
            <w:noWrap/>
          </w:tcPr>
          <w:p>
            <w:pPr>
              <w:jc w:val="end"/>
              <w:spacing w:after="0"/>
            </w:pPr>
            <w:r>
              <w:rPr>
                <w:color w:val="3B3A5E"/>
                <w:sz w:val="18"/>
                <w:szCs w:val="18"/>
                <w:b w:val="1"/>
                <w:bCs w:val="1"/>
              </w:rPr>
              <w:t xml:space="preserve">8 %</w:t>
            </w:r>
          </w:p>
        </w:tc>
      </w:tr>
      <w:tr>
        <w:trPr/>
        <w:tc>
          <w:tcPr>
            <w:tcW w:w="6510" w:type="dxa"/>
            <w:noWrap/>
          </w:tcPr>
          <w:p>
            <w:pPr>
              <w:jc w:val="start"/>
              <w:spacing w:after="0"/>
            </w:pPr>
            <w:r>
              <w:rPr>
                <w:sz w:val="18"/>
                <w:szCs w:val="18"/>
              </w:rPr>
              <w:t xml:space="preserve">Intégrité, frais illégaux, corruption</w:t>
            </w:r>
          </w:p>
        </w:tc>
        <w:tc>
          <w:tcPr>
            <w:tcW w:w="1676" w:type="dxa"/>
            <w:noWrap/>
          </w:tcPr>
          <w:p>
            <w:pPr>
              <w:jc w:val="end"/>
              <w:spacing w:after="0"/>
            </w:pPr>
            <w:r>
              <w:rPr>
                <w:color w:val="3B3A5E"/>
                <w:sz w:val="18"/>
                <w:szCs w:val="18"/>
                <w:b w:val="1"/>
                <w:bCs w:val="1"/>
              </w:rPr>
              <w:t xml:space="preserve">18</w:t>
            </w:r>
          </w:p>
        </w:tc>
        <w:tc>
          <w:tcPr>
            <w:tcW w:w="1676" w:type="dxa"/>
            <w:noWrap/>
          </w:tcPr>
          <w:p>
            <w:pPr>
              <w:jc w:val="end"/>
              <w:spacing w:after="0"/>
            </w:pPr>
            <w:r>
              <w:rPr>
                <w:color w:val="3B3A5E"/>
                <w:sz w:val="18"/>
                <w:szCs w:val="18"/>
                <w:b w:val="1"/>
                <w:bCs w:val="1"/>
              </w:rPr>
              <w:t xml:space="preserve">8 %</w:t>
            </w:r>
          </w:p>
        </w:tc>
      </w:tr>
      <w:tr>
        <w:trPr/>
        <w:tc>
          <w:tcPr>
            <w:tcW w:w="6510" w:type="dxa"/>
            <w:shd w:val="clear" w:fill="FAF9F6"/>
            <w:noWrap/>
          </w:tcPr>
          <w:p>
            <w:pPr>
              <w:jc w:val="start"/>
              <w:spacing w:after="0"/>
            </w:pPr>
            <w:r>
              <w:rPr>
                <w:sz w:val="18"/>
                <w:szCs w:val="18"/>
              </w:rPr>
              <w:t xml:space="preserve">Gouvernance (comité, information publique)</w:t>
            </w:r>
          </w:p>
        </w:tc>
        <w:tc>
          <w:tcPr>
            <w:tcW w:w="1676" w:type="dxa"/>
            <w:shd w:val="clear" w:fill="FAF9F6"/>
            <w:noWrap/>
          </w:tcPr>
          <w:p>
            <w:pPr>
              <w:jc w:val="end"/>
              <w:spacing w:after="0"/>
            </w:pPr>
            <w:r>
              <w:rPr>
                <w:color w:val="3B3A5E"/>
                <w:sz w:val="18"/>
                <w:szCs w:val="18"/>
                <w:b w:val="1"/>
                <w:bCs w:val="1"/>
              </w:rPr>
              <w:t xml:space="preserve">17</w:t>
            </w:r>
          </w:p>
        </w:tc>
        <w:tc>
          <w:tcPr>
            <w:tcW w:w="1676" w:type="dxa"/>
            <w:shd w:val="clear" w:fill="FAF9F6"/>
            <w:noWrap/>
          </w:tcPr>
          <w:p>
            <w:pPr>
              <w:jc w:val="end"/>
              <w:spacing w:after="0"/>
            </w:pPr>
            <w:r>
              <w:rPr>
                <w:color w:val="3B3A5E"/>
                <w:sz w:val="18"/>
                <w:szCs w:val="18"/>
                <w:b w:val="1"/>
                <w:bCs w:val="1"/>
              </w:rPr>
              <w:t xml:space="preserve">7 %</w:t>
            </w:r>
          </w:p>
        </w:tc>
      </w:tr>
      <w:tr>
        <w:trPr/>
        <w:tc>
          <w:tcPr>
            <w:tcW w:w="6510" w:type="dxa"/>
            <w:noWrap/>
          </w:tcPr>
          <w:p>
            <w:pPr>
              <w:jc w:val="start"/>
              <w:spacing w:after="0"/>
            </w:pPr>
            <w:r>
              <w:rPr>
                <w:sz w:val="18"/>
                <w:szCs w:val="18"/>
              </w:rPr>
              <w:t xml:space="preserve">Accessibilité (handicap)</w:t>
            </w:r>
          </w:p>
        </w:tc>
        <w:tc>
          <w:tcPr>
            <w:tcW w:w="1676" w:type="dxa"/>
            <w:noWrap/>
          </w:tcPr>
          <w:p>
            <w:pPr>
              <w:jc w:val="end"/>
              <w:spacing w:after="0"/>
            </w:pPr>
            <w:r>
              <w:rPr>
                <w:color w:val="3B3A5E"/>
                <w:sz w:val="18"/>
                <w:szCs w:val="18"/>
                <w:b w:val="1"/>
                <w:bCs w:val="1"/>
              </w:rPr>
              <w:t xml:space="preserve">16</w:t>
            </w:r>
          </w:p>
        </w:tc>
        <w:tc>
          <w:tcPr>
            <w:tcW w:w="1676" w:type="dxa"/>
            <w:noWrap/>
          </w:tcPr>
          <w:p>
            <w:pPr>
              <w:jc w:val="end"/>
              <w:spacing w:after="0"/>
            </w:pPr>
            <w:r>
              <w:rPr>
                <w:color w:val="3B3A5E"/>
                <w:sz w:val="18"/>
                <w:szCs w:val="18"/>
                <w:b w:val="1"/>
                <w:bCs w:val="1"/>
              </w:rPr>
              <w:t xml:space="preserve">7 %</w:t>
            </w:r>
          </w:p>
        </w:tc>
      </w:tr>
      <w:tr>
        <w:trPr/>
        <w:tc>
          <w:tcPr>
            <w:tcW w:w="6510" w:type="dxa"/>
            <w:shd w:val="clear" w:fill="FAF9F6"/>
            <w:noWrap/>
          </w:tcPr>
          <w:p>
            <w:pPr>
              <w:jc w:val="start"/>
              <w:spacing w:after="0"/>
            </w:pPr>
            <w:r>
              <w:rPr>
                <w:sz w:val="18"/>
                <w:szCs w:val="18"/>
              </w:rPr>
              <w:t xml:space="preserve">Bâtiments et salles</w:t>
            </w:r>
          </w:p>
        </w:tc>
        <w:tc>
          <w:tcPr>
            <w:tcW w:w="1676" w:type="dxa"/>
            <w:shd w:val="clear" w:fill="FAF9F6"/>
            <w:noWrap/>
          </w:tcPr>
          <w:p>
            <w:pPr>
              <w:jc w:val="end"/>
              <w:spacing w:after="0"/>
            </w:pPr>
            <w:r>
              <w:rPr>
                <w:color w:val="3B3A5E"/>
                <w:sz w:val="18"/>
                <w:szCs w:val="18"/>
                <w:b w:val="1"/>
                <w:bCs w:val="1"/>
              </w:rPr>
              <w:t xml:space="preserve">15</w:t>
            </w:r>
          </w:p>
        </w:tc>
        <w:tc>
          <w:tcPr>
            <w:tcW w:w="1676" w:type="dxa"/>
            <w:shd w:val="clear" w:fill="FAF9F6"/>
            <w:noWrap/>
          </w:tcPr>
          <w:p>
            <w:pPr>
              <w:jc w:val="end"/>
              <w:spacing w:after="0"/>
            </w:pPr>
            <w:r>
              <w:rPr>
                <w:color w:val="3B3A5E"/>
                <w:sz w:val="18"/>
                <w:szCs w:val="18"/>
                <w:b w:val="1"/>
                <w:bCs w:val="1"/>
              </w:rPr>
              <w:t xml:space="preserve">6 %</w:t>
            </w:r>
          </w:p>
        </w:tc>
      </w:tr>
      <w:tr>
        <w:trPr/>
        <w:tc>
          <w:tcPr>
            <w:tcW w:w="6510" w:type="dxa"/>
            <w:noWrap/>
          </w:tcPr>
          <w:p>
            <w:pPr>
              <w:jc w:val="start"/>
              <w:spacing w:after="0"/>
            </w:pPr>
            <w:r>
              <w:rPr>
                <w:sz w:val="18"/>
                <w:szCs w:val="18"/>
              </w:rPr>
              <w:t xml:space="preserve">Matériel pédagogique et bibliothèque</w:t>
            </w:r>
          </w:p>
        </w:tc>
        <w:tc>
          <w:tcPr>
            <w:tcW w:w="1676" w:type="dxa"/>
            <w:noWrap/>
          </w:tcPr>
          <w:p>
            <w:pPr>
              <w:jc w:val="end"/>
              <w:spacing w:after="0"/>
            </w:pPr>
            <w:r>
              <w:rPr>
                <w:color w:val="3B3A5E"/>
                <w:sz w:val="18"/>
                <w:szCs w:val="18"/>
                <w:b w:val="1"/>
                <w:bCs w:val="1"/>
              </w:rPr>
              <w:t xml:space="preserve">15</w:t>
            </w:r>
          </w:p>
        </w:tc>
        <w:tc>
          <w:tcPr>
            <w:tcW w:w="1676" w:type="dxa"/>
            <w:noWrap/>
          </w:tcPr>
          <w:p>
            <w:pPr>
              <w:jc w:val="end"/>
              <w:spacing w:after="0"/>
            </w:pPr>
            <w:r>
              <w:rPr>
                <w:color w:val="3B3A5E"/>
                <w:sz w:val="18"/>
                <w:szCs w:val="18"/>
                <w:b w:val="1"/>
                <w:bCs w:val="1"/>
              </w:rPr>
              <w:t xml:space="preserve">6 %</w:t>
            </w:r>
          </w:p>
        </w:tc>
      </w:tr>
      <w:tr>
        <w:trPr/>
        <w:tc>
          <w:tcPr>
            <w:tcW w:w="6510" w:type="dxa"/>
            <w:shd w:val="clear" w:fill="FAF9F6"/>
            <w:noWrap/>
          </w:tcPr>
          <w:p>
            <w:pPr>
              <w:jc w:val="start"/>
              <w:spacing w:after="0"/>
            </w:pPr>
            <w:r>
              <w:rPr>
                <w:sz w:val="18"/>
                <w:szCs w:val="18"/>
              </w:rPr>
              <w:t xml:space="preserve">Main-d'œuvre et paiement</w:t>
            </w:r>
          </w:p>
        </w:tc>
        <w:tc>
          <w:tcPr>
            <w:tcW w:w="1676" w:type="dxa"/>
            <w:shd w:val="clear" w:fill="FAF9F6"/>
            <w:noWrap/>
          </w:tcPr>
          <w:p>
            <w:pPr>
              <w:jc w:val="end"/>
              <w:spacing w:after="0"/>
            </w:pPr>
            <w:r>
              <w:rPr>
                <w:color w:val="3B3A5E"/>
                <w:sz w:val="18"/>
                <w:szCs w:val="18"/>
                <w:b w:val="1"/>
                <w:bCs w:val="1"/>
              </w:rPr>
              <w:t xml:space="preserve">12</w:t>
            </w:r>
          </w:p>
        </w:tc>
        <w:tc>
          <w:tcPr>
            <w:tcW w:w="1676" w:type="dxa"/>
            <w:shd w:val="clear" w:fill="FAF9F6"/>
            <w:noWrap/>
          </w:tcPr>
          <w:p>
            <w:pPr>
              <w:jc w:val="end"/>
              <w:spacing w:after="0"/>
            </w:pPr>
            <w:r>
              <w:rPr>
                <w:color w:val="3B3A5E"/>
                <w:sz w:val="18"/>
                <w:szCs w:val="18"/>
                <w:b w:val="1"/>
                <w:bCs w:val="1"/>
              </w:rPr>
              <w:t xml:space="preserve">5 %</w:t>
            </w:r>
          </w:p>
        </w:tc>
      </w:tr>
      <w:tr>
        <w:trPr/>
        <w:tc>
          <w:tcPr>
            <w:tcW w:w="6510" w:type="dxa"/>
            <w:noWrap/>
          </w:tcPr>
          <w:p>
            <w:pPr>
              <w:jc w:val="start"/>
              <w:spacing w:after="0"/>
            </w:pPr>
            <w:r>
              <w:rPr>
                <w:sz w:val="18"/>
                <w:szCs w:val="18"/>
              </w:rPr>
              <w:t xml:space="preserve">Sécurité</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Horaires et tenue des cours</w:t>
            </w:r>
          </w:p>
        </w:tc>
        <w:tc>
          <w:tcPr>
            <w:tcW w:w="1676" w:type="dxa"/>
            <w:shd w:val="clear" w:fill="FAF9F6"/>
            <w:noWrap/>
          </w:tcPr>
          <w:p>
            <w:pPr>
              <w:jc w:val="end"/>
              <w:spacing w:after="0"/>
            </w:pPr>
            <w:r>
              <w:rPr>
                <w:color w:val="3B3A5E"/>
                <w:sz w:val="18"/>
                <w:szCs w:val="18"/>
                <w:b w:val="1"/>
                <w:bCs w:val="1"/>
              </w:rPr>
              <w:t xml:space="preserve">10</w:t>
            </w:r>
          </w:p>
        </w:tc>
        <w:tc>
          <w:tcPr>
            <w:tcW w:w="1676" w:type="dxa"/>
            <w:shd w:val="clear" w:fill="FAF9F6"/>
            <w:noWrap/>
          </w:tcPr>
          <w:p>
            <w:pPr>
              <w:jc w:val="end"/>
              <w:spacing w:after="0"/>
            </w:pPr>
            <w:r>
              <w:rPr>
                <w:color w:val="3B3A5E"/>
                <w:sz w:val="18"/>
                <w:szCs w:val="18"/>
                <w:b w:val="1"/>
                <w:bCs w:val="1"/>
              </w:rPr>
              <w:t xml:space="preserve">4 %</w:t>
            </w:r>
          </w:p>
        </w:tc>
      </w:tr>
      <w:tr>
        <w:trPr/>
        <w:tc>
          <w:tcPr>
            <w:tcW w:w="6510" w:type="dxa"/>
            <w:noWrap/>
          </w:tcPr>
          <w:p>
            <w:pPr>
              <w:jc w:val="start"/>
              <w:spacing w:after="0"/>
            </w:pPr>
            <w:r>
              <w:rPr>
                <w:sz w:val="18"/>
                <w:szCs w:val="18"/>
              </w:rPr>
              <w:t xml:space="preserve">Présence et qualification des enseignants</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Suivi des présences</w:t>
            </w:r>
          </w:p>
        </w:tc>
        <w:tc>
          <w:tcPr>
            <w:tcW w:w="1676" w:type="dxa"/>
            <w:shd w:val="clear" w:fill="FAF9F6"/>
            <w:noWrap/>
          </w:tcPr>
          <w:p>
            <w:pPr>
              <w:jc w:val="end"/>
              <w:spacing w:after="0"/>
            </w:pPr>
            <w:r>
              <w:rPr>
                <w:color w:val="3B3A5E"/>
                <w:sz w:val="18"/>
                <w:szCs w:val="18"/>
                <w:b w:val="1"/>
                <w:bCs w:val="1"/>
              </w:rPr>
              <w:t xml:space="preserve">7</w:t>
            </w:r>
          </w:p>
        </w:tc>
        <w:tc>
          <w:tcPr>
            <w:tcW w:w="1676" w:type="dxa"/>
            <w:shd w:val="clear" w:fill="FAF9F6"/>
            <w:noWrap/>
          </w:tcPr>
          <w:p>
            <w:pPr>
              <w:jc w:val="end"/>
              <w:spacing w:after="0"/>
            </w:pPr>
            <w:r>
              <w:rPr>
                <w:color w:val="3B3A5E"/>
                <w:sz w:val="18"/>
                <w:szCs w:val="18"/>
                <w:b w:val="1"/>
                <w:bCs w:val="1"/>
              </w:rPr>
              <w:t xml:space="preserve">3 %</w:t>
            </w:r>
          </w:p>
        </w:tc>
      </w:tr>
      <w:tr>
        <w:trPr/>
        <w:tc>
          <w:tcPr>
            <w:tcW w:w="6510" w:type="dxa"/>
            <w:noWrap/>
          </w:tcPr>
          <w:p>
            <w:pPr>
              <w:jc w:val="start"/>
              <w:spacing w:after="0"/>
            </w:pPr>
            <w:r>
              <w:rPr>
                <w:sz w:val="18"/>
                <w:szCs w:val="18"/>
              </w:rPr>
              <w:t xml:space="preserve">Mécanisme de plainte</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r>
        <w:trPr/>
        <w:tc>
          <w:tcPr>
            <w:tcW w:w="6510" w:type="dxa"/>
            <w:shd w:val="clear" w:fill="FAF9F6"/>
            <w:noWrap/>
          </w:tcPr>
          <w:p>
            <w:pPr>
              <w:jc w:val="start"/>
              <w:spacing w:after="0"/>
            </w:pPr>
            <w:r>
              <w:rPr>
                <w:sz w:val="18"/>
                <w:szCs w:val="18"/>
              </w:rPr>
              <w:t xml:space="preserve">Mobilier</w:t>
            </w:r>
          </w:p>
        </w:tc>
        <w:tc>
          <w:tcPr>
            <w:tcW w:w="1676" w:type="dxa"/>
            <w:shd w:val="clear" w:fill="FAF9F6"/>
            <w:noWrap/>
          </w:tcPr>
          <w:p>
            <w:pPr>
              <w:jc w:val="end"/>
              <w:spacing w:after="0"/>
            </w:pPr>
            <w:r>
              <w:rPr>
                <w:color w:val="3B3A5E"/>
                <w:sz w:val="18"/>
                <w:szCs w:val="18"/>
                <w:b w:val="1"/>
                <w:bCs w:val="1"/>
              </w:rPr>
              <w:t xml:space="preserve">5</w:t>
            </w:r>
          </w:p>
        </w:tc>
        <w:tc>
          <w:tcPr>
            <w:tcW w:w="1676" w:type="dxa"/>
            <w:shd w:val="clear" w:fill="FAF9F6"/>
            <w:noWrap/>
          </w:tcPr>
          <w:p>
            <w:pPr>
              <w:jc w:val="end"/>
              <w:spacing w:after="0"/>
            </w:pPr>
            <w:r>
              <w:rPr>
                <w:color w:val="3B3A5E"/>
                <w:sz w:val="18"/>
                <w:szCs w:val="18"/>
                <w:b w:val="1"/>
                <w:bCs w:val="1"/>
              </w:rPr>
              <w:t xml:space="preserve">2 %</w:t>
            </w:r>
          </w:p>
        </w:tc>
      </w:tr>
      <w:tr>
        <w:trPr/>
        <w:tc>
          <w:tcPr>
            <w:tcW w:w="6510" w:type="dxa"/>
            <w:noWrap/>
          </w:tcPr>
          <w:p>
            <w:pPr>
              <w:jc w:val="start"/>
              <w:spacing w:after="0"/>
            </w:pPr>
            <w:r>
              <w:rPr>
                <w:sz w:val="18"/>
                <w:szCs w:val="18"/>
              </w:rPr>
              <w:t xml:space="preserve">Entretien</w:t>
            </w:r>
          </w:p>
        </w:tc>
        <w:tc>
          <w:tcPr>
            <w:tcW w:w="1676" w:type="dxa"/>
            <w:noWrap/>
          </w:tcPr>
          <w:p>
            <w:pPr>
              <w:jc w:val="end"/>
              <w:spacing w:after="0"/>
            </w:pPr>
            <w:r>
              <w:rPr>
                <w:color w:val="3B3A5E"/>
                <w:sz w:val="18"/>
                <w:szCs w:val="18"/>
                <w:b w:val="1"/>
                <w:bCs w:val="1"/>
              </w:rPr>
              <w:t xml:space="preserve">4</w:t>
            </w:r>
          </w:p>
        </w:tc>
        <w:tc>
          <w:tcPr>
            <w:tcW w:w="1676" w:type="dxa"/>
            <w:noWrap/>
          </w:tcPr>
          <w:p>
            <w:pPr>
              <w:jc w:val="end"/>
              <w:spacing w:after="0"/>
            </w:pPr>
            <w:r>
              <w:rPr>
                <w:color w:val="3B3A5E"/>
                <w:sz w:val="18"/>
                <w:szCs w:val="18"/>
                <w:b w:val="1"/>
                <w:bCs w:val="1"/>
              </w:rPr>
              <w:t xml:space="preserve">2 %</w:t>
            </w:r>
          </w:p>
        </w:tc>
      </w:tr>
    </w:tbl>
    <w:p>
      <w:pPr>
        <w:rPr>
          <w:sz w:val="8"/>
          <w:szCs w:val="8"/>
        </w:rPr>
      </w:pPr>
    </w:p>
    <w:p>
      <w:pPr>
        <w:pStyle w:val="Heading2"/>
      </w:pPr>
      <w:bookmarkStart w:id="13" w:name="_Toc13"/>
      <w:r>
        <w:t>Problèmes récurrents : part des visites avec une réponse « problème »</w:t>
      </w:r>
      <w:bookmarkEnd w:id="13"/>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Visites</w:t>
            </w:r>
          </w:p>
        </w:tc>
        <w:tc>
          <w:tcPr>
            <w:tcW w:w="1676" w:type="dxa"/>
            <w:shd w:val="clear" w:fill="3B3A5E"/>
            <w:noWrap/>
          </w:tcPr>
          <w:p>
            <w:pPr>
              <w:jc w:val="end"/>
              <w:spacing w:after="0"/>
            </w:pPr>
            <w:r>
              <w:rPr>
                <w:color w:val="FFFFFF"/>
                <w:sz w:val="17"/>
                <w:szCs w:val="17"/>
                <w:b w:val="1"/>
                <w:bCs w:val="1"/>
              </w:rPr>
              <w:t xml:space="preserve">%</w:t>
            </w:r>
          </w:p>
        </w:tc>
      </w:tr>
      <w:tr>
        <w:trPr/>
        <w:tc>
          <w:tcPr>
            <w:tcW w:w="6510" w:type="dxa"/>
            <w:noWrap/>
          </w:tcPr>
          <w:p>
            <w:pPr>
              <w:jc w:val="start"/>
              <w:spacing w:after="0"/>
            </w:pPr>
            <w:r>
              <w:rPr>
                <w:sz w:val="18"/>
                <w:szCs w:val="18"/>
              </w:rPr>
              <w:t xml:space="preserve">Qualité des matériaux</w:t>
            </w:r>
          </w:p>
        </w:tc>
        <w:tc>
          <w:tcPr>
            <w:tcW w:w="1676" w:type="dxa"/>
            <w:noWrap/>
          </w:tcPr>
          <w:p>
            <w:pPr>
              <w:jc w:val="end"/>
              <w:spacing w:after="0"/>
            </w:pPr>
            <w:r>
              <w:rPr>
                <w:color w:val="3B3A5E"/>
                <w:sz w:val="18"/>
                <w:szCs w:val="18"/>
                <w:b w:val="1"/>
                <w:bCs w:val="1"/>
              </w:rPr>
              <w:t xml:space="preserve">16 / 60</w:t>
            </w:r>
          </w:p>
        </w:tc>
        <w:tc>
          <w:tcPr>
            <w:tcW w:w="1676" w:type="dxa"/>
            <w:noWrap/>
          </w:tcPr>
          <w:p>
            <w:pPr>
              <w:jc w:val="end"/>
              <w:spacing w:after="0"/>
            </w:pPr>
            <w:r>
              <w:rPr>
                <w:color w:val="3B3A5E"/>
                <w:sz w:val="18"/>
                <w:szCs w:val="18"/>
                <w:b w:val="1"/>
                <w:bCs w:val="1"/>
              </w:rPr>
              <w:t xml:space="preserve">27 %</w:t>
            </w:r>
          </w:p>
        </w:tc>
      </w:tr>
      <w:tr>
        <w:trPr/>
        <w:tc>
          <w:tcPr>
            <w:tcW w:w="6510" w:type="dxa"/>
            <w:shd w:val="clear" w:fill="FAF9F6"/>
            <w:noWrap/>
          </w:tcPr>
          <w:p>
            <w:pPr>
              <w:jc w:val="start"/>
              <w:spacing w:after="0"/>
            </w:pPr>
            <w:r>
              <w:rPr>
                <w:sz w:val="18"/>
                <w:szCs w:val="18"/>
              </w:rPr>
              <w:t xml:space="preserve">Stockage des matériaux</w:t>
            </w:r>
          </w:p>
        </w:tc>
        <w:tc>
          <w:tcPr>
            <w:tcW w:w="1676" w:type="dxa"/>
            <w:shd w:val="clear" w:fill="FAF9F6"/>
            <w:noWrap/>
          </w:tcPr>
          <w:p>
            <w:pPr>
              <w:jc w:val="end"/>
              <w:spacing w:after="0"/>
            </w:pPr>
            <w:r>
              <w:rPr>
                <w:color w:val="3B3A5E"/>
                <w:sz w:val="18"/>
                <w:szCs w:val="18"/>
                <w:b w:val="1"/>
                <w:bCs w:val="1"/>
              </w:rPr>
              <w:t xml:space="preserve">14 / 60</w:t>
            </w:r>
          </w:p>
        </w:tc>
        <w:tc>
          <w:tcPr>
            <w:tcW w:w="1676" w:type="dxa"/>
            <w:shd w:val="clear" w:fill="FAF9F6"/>
            <w:noWrap/>
          </w:tcPr>
          <w:p>
            <w:pPr>
              <w:jc w:val="end"/>
              <w:spacing w:after="0"/>
            </w:pPr>
            <w:r>
              <w:rPr>
                <w:color w:val="3B3A5E"/>
                <w:sz w:val="18"/>
                <w:szCs w:val="18"/>
                <w:b w:val="1"/>
                <w:bCs w:val="1"/>
              </w:rPr>
              <w:t xml:space="preserve">23 %</w:t>
            </w:r>
          </w:p>
        </w:tc>
      </w:tr>
      <w:tr>
        <w:trPr/>
        <w:tc>
          <w:tcPr>
            <w:tcW w:w="6510" w:type="dxa"/>
            <w:noWrap/>
          </w:tcPr>
          <w:p>
            <w:pPr>
              <w:jc w:val="start"/>
              <w:spacing w:after="0"/>
            </w:pPr>
            <w:r>
              <w:rPr>
                <w:sz w:val="18"/>
                <w:szCs w:val="18"/>
              </w:rPr>
              <w:t xml:space="preserve">Devis quantitatif</w:t>
            </w:r>
          </w:p>
        </w:tc>
        <w:tc>
          <w:tcPr>
            <w:tcW w:w="1676" w:type="dxa"/>
            <w:noWrap/>
          </w:tcPr>
          <w:p>
            <w:pPr>
              <w:jc w:val="end"/>
              <w:spacing w:after="0"/>
            </w:pPr>
            <w:r>
              <w:rPr>
                <w:color w:val="3B3A5E"/>
                <w:sz w:val="18"/>
                <w:szCs w:val="18"/>
                <w:b w:val="1"/>
                <w:bCs w:val="1"/>
              </w:rPr>
              <w:t xml:space="preserve">13 / 60</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Accessibilité du projet</w:t>
            </w:r>
          </w:p>
        </w:tc>
        <w:tc>
          <w:tcPr>
            <w:tcW w:w="1676" w:type="dxa"/>
            <w:shd w:val="clear" w:fill="FAF9F6"/>
            <w:noWrap/>
          </w:tcPr>
          <w:p>
            <w:pPr>
              <w:jc w:val="end"/>
              <w:spacing w:after="0"/>
            </w:pPr>
            <w:r>
              <w:rPr>
                <w:color w:val="3B3A5E"/>
                <w:sz w:val="18"/>
                <w:szCs w:val="18"/>
                <w:b w:val="1"/>
                <w:bCs w:val="1"/>
              </w:rPr>
              <w:t xml:space="preserve">13 / 60</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Équipement de la bibliothèque</w:t>
            </w:r>
          </w:p>
        </w:tc>
        <w:tc>
          <w:tcPr>
            <w:tcW w:w="1676" w:type="dxa"/>
            <w:noWrap/>
          </w:tcPr>
          <w:p>
            <w:pPr>
              <w:jc w:val="end"/>
              <w:spacing w:after="0"/>
            </w:pPr>
            <w:r>
              <w:rPr>
                <w:color w:val="3B3A5E"/>
                <w:sz w:val="18"/>
                <w:szCs w:val="18"/>
                <w:b w:val="1"/>
                <w:bCs w:val="1"/>
              </w:rPr>
              <w:t xml:space="preserve">8 / 37</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État des toilettes</w:t>
            </w:r>
          </w:p>
        </w:tc>
        <w:tc>
          <w:tcPr>
            <w:tcW w:w="1676" w:type="dxa"/>
            <w:shd w:val="clear" w:fill="FAF9F6"/>
            <w:noWrap/>
          </w:tcPr>
          <w:p>
            <w:pPr>
              <w:jc w:val="end"/>
              <w:spacing w:after="0"/>
            </w:pPr>
            <w:r>
              <w:rPr>
                <w:color w:val="3B3A5E"/>
                <w:sz w:val="18"/>
                <w:szCs w:val="18"/>
                <w:b w:val="1"/>
                <w:bCs w:val="1"/>
              </w:rPr>
              <w:t xml:space="preserve">14 / 66</w:t>
            </w:r>
          </w:p>
        </w:tc>
        <w:tc>
          <w:tcPr>
            <w:tcW w:w="1676" w:type="dxa"/>
            <w:shd w:val="clear" w:fill="FAF9F6"/>
            <w:noWrap/>
          </w:tcPr>
          <w:p>
            <w:pPr>
              <w:jc w:val="end"/>
              <w:spacing w:after="0"/>
            </w:pPr>
            <w:r>
              <w:rPr>
                <w:color w:val="3B3A5E"/>
                <w:sz w:val="18"/>
                <w:szCs w:val="18"/>
                <w:b w:val="1"/>
                <w:bCs w:val="1"/>
              </w:rPr>
              <w:t xml:space="preserve">21 %</w:t>
            </w:r>
          </w:p>
        </w:tc>
      </w:tr>
      <w:tr>
        <w:trPr/>
        <w:tc>
          <w:tcPr>
            <w:tcW w:w="6510" w:type="dxa"/>
            <w:noWrap/>
          </w:tcPr>
          <w:p>
            <w:pPr>
              <w:jc w:val="start"/>
              <w:spacing w:after="0"/>
            </w:pPr>
            <w:r>
              <w:rPr>
                <w:sz w:val="18"/>
                <w:szCs w:val="18"/>
              </w:rPr>
              <w:t xml:space="preserve">Intégrité du personnel</w:t>
            </w:r>
          </w:p>
        </w:tc>
        <w:tc>
          <w:tcPr>
            <w:tcW w:w="1676" w:type="dxa"/>
            <w:noWrap/>
          </w:tcPr>
          <w:p>
            <w:pPr>
              <w:jc w:val="end"/>
              <w:spacing w:after="0"/>
            </w:pPr>
            <w:r>
              <w:rPr>
                <w:color w:val="3B3A5E"/>
                <w:sz w:val="18"/>
                <w:szCs w:val="18"/>
                <w:b w:val="1"/>
                <w:bCs w:val="1"/>
              </w:rPr>
              <w:t xml:space="preserve">14 / 66</w:t>
            </w:r>
          </w:p>
        </w:tc>
        <w:tc>
          <w:tcPr>
            <w:tcW w:w="1676" w:type="dxa"/>
            <w:noWrap/>
          </w:tcPr>
          <w:p>
            <w:pPr>
              <w:jc w:val="end"/>
              <w:spacing w:after="0"/>
            </w:pPr>
            <w:r>
              <w:rPr>
                <w:color w:val="3B3A5E"/>
                <w:sz w:val="18"/>
                <w:szCs w:val="18"/>
                <w:b w:val="1"/>
                <w:bCs w:val="1"/>
              </w:rPr>
              <w:t xml:space="preserve">21 %</w:t>
            </w:r>
          </w:p>
        </w:tc>
      </w:tr>
      <w:tr>
        <w:trPr/>
        <w:tc>
          <w:tcPr>
            <w:tcW w:w="6510" w:type="dxa"/>
            <w:shd w:val="clear" w:fill="FAF9F6"/>
            <w:noWrap/>
          </w:tcPr>
          <w:p>
            <w:pPr>
              <w:jc w:val="start"/>
              <w:spacing w:after="0"/>
            </w:pPr>
            <w:r>
              <w:rPr>
                <w:sz w:val="18"/>
                <w:szCs w:val="18"/>
              </w:rPr>
              <w:t xml:space="preserve">Danger dans l'environnement scolaire</w:t>
            </w:r>
          </w:p>
        </w:tc>
        <w:tc>
          <w:tcPr>
            <w:tcW w:w="1676" w:type="dxa"/>
            <w:shd w:val="clear" w:fill="FAF9F6"/>
            <w:noWrap/>
          </w:tcPr>
          <w:p>
            <w:pPr>
              <w:jc w:val="end"/>
              <w:spacing w:after="0"/>
            </w:pPr>
            <w:r>
              <w:rPr>
                <w:color w:val="3B3A5E"/>
                <w:sz w:val="18"/>
                <w:szCs w:val="18"/>
                <w:b w:val="1"/>
                <w:bCs w:val="1"/>
              </w:rPr>
              <w:t xml:space="preserve">13 / 66</w:t>
            </w:r>
          </w:p>
        </w:tc>
        <w:tc>
          <w:tcPr>
            <w:tcW w:w="1676" w:type="dxa"/>
            <w:shd w:val="clear" w:fill="FAF9F6"/>
            <w:noWrap/>
          </w:tcPr>
          <w:p>
            <w:pPr>
              <w:jc w:val="end"/>
              <w:spacing w:after="0"/>
            </w:pPr>
            <w:r>
              <w:rPr>
                <w:color w:val="3B3A5E"/>
                <w:sz w:val="18"/>
                <w:szCs w:val="18"/>
                <w:b w:val="1"/>
                <w:bCs w:val="1"/>
              </w:rPr>
              <w:t xml:space="preserve">20 %</w:t>
            </w:r>
          </w:p>
        </w:tc>
      </w:tr>
    </w:tbl>
    <w:p>
      <w:pPr>
        <w:rPr>
          <w:sz w:val="8"/>
          <w:szCs w:val="8"/>
        </w:rPr>
      </w:pPr>
    </w:p>
    <w:p>
      <w:pPr>
        <w:pStyle w:val="Heading2"/>
      </w:pPr>
      <w:bookmarkStart w:id="14" w:name="_Toc14"/>
      <w:r>
        <w:t>Taux de correction par question</w:t>
      </w:r>
      <w:bookmarkEnd w:id="14"/>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Taux</w:t>
            </w:r>
          </w:p>
        </w:tc>
      </w:tr>
      <w:tr>
        <w:trPr/>
        <w:tc>
          <w:tcPr>
            <w:tcW w:w="6510" w:type="dxa"/>
            <w:noWrap/>
          </w:tcPr>
          <w:p>
            <w:pPr>
              <w:jc w:val="start"/>
              <w:spacing w:after="0"/>
            </w:pPr>
            <w:r>
              <w:rPr>
                <w:sz w:val="18"/>
                <w:szCs w:val="18"/>
              </w:rPr>
              <w:t xml:space="preserve">Travaux arrêtés ou retardés</w:t>
            </w:r>
          </w:p>
        </w:tc>
        <w:tc>
          <w:tcPr>
            <w:tcW w:w="1676" w:type="dxa"/>
            <w:noWrap/>
          </w:tcPr>
          <w:p>
            <w:pPr>
              <w:jc w:val="end"/>
              <w:spacing w:after="0"/>
            </w:pPr>
            <w:r>
              <w:rPr>
                <w:color w:val="3B3A5E"/>
                <w:sz w:val="18"/>
                <w:szCs w:val="18"/>
                <w:b w:val="1"/>
                <w:bCs w:val="1"/>
              </w:rPr>
              <w:t xml:space="preserve">3 / 4</w:t>
            </w:r>
          </w:p>
        </w:tc>
        <w:tc>
          <w:tcPr>
            <w:tcW w:w="1676" w:type="dxa"/>
            <w:noWrap/>
          </w:tcPr>
          <w:p>
            <w:pPr>
              <w:jc w:val="end"/>
              <w:spacing w:after="0"/>
            </w:pPr>
            <w:r>
              <w:rPr>
                <w:color w:val="3B3A5E"/>
                <w:sz w:val="18"/>
                <w:szCs w:val="18"/>
                <w:b w:val="1"/>
                <w:bCs w:val="1"/>
              </w:rPr>
              <w:t xml:space="preserve">75 %</w:t>
            </w:r>
          </w:p>
        </w:tc>
      </w:tr>
      <w:tr>
        <w:trPr/>
        <w:tc>
          <w:tcPr>
            <w:tcW w:w="6510" w:type="dxa"/>
            <w:shd w:val="clear" w:fill="FAF9F6"/>
            <w:noWrap/>
          </w:tcPr>
          <w:p>
            <w:pPr>
              <w:jc w:val="start"/>
              <w:spacing w:after="0"/>
            </w:pPr>
            <w:r>
              <w:rPr>
                <w:sz w:val="18"/>
                <w:szCs w:val="18"/>
              </w:rPr>
              <w:t xml:space="preserve">Cours non tenus selon l'horaire</w:t>
            </w:r>
          </w:p>
        </w:tc>
        <w:tc>
          <w:tcPr>
            <w:tcW w:w="1676" w:type="dxa"/>
            <w:shd w:val="clear" w:fill="FAF9F6"/>
            <w:noWrap/>
          </w:tcPr>
          <w:p>
            <w:pPr>
              <w:jc w:val="end"/>
              <w:spacing w:after="0"/>
            </w:pPr>
            <w:r>
              <w:rPr>
                <w:color w:val="3B3A5E"/>
                <w:sz w:val="18"/>
                <w:szCs w:val="18"/>
                <w:b w:val="1"/>
                <w:bCs w:val="1"/>
              </w:rPr>
              <w:t xml:space="preserve">4 / 6</w:t>
            </w:r>
          </w:p>
        </w:tc>
        <w:tc>
          <w:tcPr>
            <w:tcW w:w="1676" w:type="dxa"/>
            <w:shd w:val="clear" w:fill="FAF9F6"/>
            <w:noWrap/>
          </w:tcPr>
          <w:p>
            <w:pPr>
              <w:jc w:val="end"/>
              <w:spacing w:after="0"/>
            </w:pPr>
            <w:r>
              <w:rPr>
                <w:color w:val="3B3A5E"/>
                <w:sz w:val="18"/>
                <w:szCs w:val="18"/>
                <w:b w:val="1"/>
                <w:bCs w:val="1"/>
              </w:rPr>
              <w:t xml:space="preserve">67 %</w:t>
            </w:r>
          </w:p>
        </w:tc>
      </w:tr>
      <w:tr>
        <w:trPr/>
        <w:tc>
          <w:tcPr>
            <w:tcW w:w="6510" w:type="dxa"/>
            <w:noWrap/>
          </w:tcPr>
          <w:p>
            <w:pPr>
              <w:jc w:val="start"/>
              <w:spacing w:after="0"/>
            </w:pPr>
            <w:r>
              <w:rPr>
                <w:sz w:val="18"/>
                <w:szCs w:val="18"/>
              </w:rPr>
              <w:t xml:space="preserve">Quantité de matériaux</w:t>
            </w:r>
          </w:p>
        </w:tc>
        <w:tc>
          <w:tcPr>
            <w:tcW w:w="1676" w:type="dxa"/>
            <w:noWrap/>
          </w:tcPr>
          <w:p>
            <w:pPr>
              <w:jc w:val="end"/>
              <w:spacing w:after="0"/>
            </w:pPr>
            <w:r>
              <w:rPr>
                <w:color w:val="3B3A5E"/>
                <w:sz w:val="18"/>
                <w:szCs w:val="18"/>
                <w:b w:val="1"/>
                <w:bCs w:val="1"/>
              </w:rPr>
              <w:t xml:space="preserve">4 / 6</w:t>
            </w:r>
          </w:p>
        </w:tc>
        <w:tc>
          <w:tcPr>
            <w:tcW w:w="1676" w:type="dxa"/>
            <w:noWrap/>
          </w:tcPr>
          <w:p>
            <w:pPr>
              <w:jc w:val="end"/>
              <w:spacing w:after="0"/>
            </w:pPr>
            <w:r>
              <w:rPr>
                <w:color w:val="3B3A5E"/>
                <w:sz w:val="18"/>
                <w:szCs w:val="18"/>
                <w:b w:val="1"/>
                <w:bCs w:val="1"/>
              </w:rPr>
              <w:t xml:space="preserve">67 %</w:t>
            </w:r>
          </w:p>
        </w:tc>
      </w:tr>
      <w:tr>
        <w:trPr/>
        <w:tc>
          <w:tcPr>
            <w:tcW w:w="6510" w:type="dxa"/>
            <w:shd w:val="clear" w:fill="FAF9F6"/>
            <w:noWrap/>
          </w:tcPr>
          <w:p>
            <w:pPr>
              <w:jc w:val="start"/>
              <w:spacing w:after="0"/>
            </w:pPr>
            <w:r>
              <w:rPr>
                <w:sz w:val="18"/>
                <w:szCs w:val="18"/>
              </w:rPr>
              <w:t xml:space="preserve">Enseignants qualifiés</w:t>
            </w:r>
          </w:p>
        </w:tc>
        <w:tc>
          <w:tcPr>
            <w:tcW w:w="1676" w:type="dxa"/>
            <w:shd w:val="clear" w:fill="FAF9F6"/>
            <w:noWrap/>
          </w:tcPr>
          <w:p>
            <w:pPr>
              <w:jc w:val="end"/>
              <w:spacing w:after="0"/>
            </w:pPr>
            <w:r>
              <w:rPr>
                <w:color w:val="3B3A5E"/>
                <w:sz w:val="18"/>
                <w:szCs w:val="18"/>
                <w:b w:val="1"/>
                <w:bCs w:val="1"/>
              </w:rPr>
              <w:t xml:space="preserve">6 / 10</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Mobilier</w:t>
            </w:r>
          </w:p>
        </w:tc>
        <w:tc>
          <w:tcPr>
            <w:tcW w:w="1676" w:type="dxa"/>
            <w:noWrap/>
          </w:tcPr>
          <w:p>
            <w:pPr>
              <w:jc w:val="end"/>
              <w:spacing w:after="0"/>
            </w:pPr>
            <w:r>
              <w:rPr>
                <w:color w:val="3B3A5E"/>
                <w:sz w:val="18"/>
                <w:szCs w:val="18"/>
                <w:b w:val="1"/>
                <w:bCs w:val="1"/>
              </w:rPr>
              <w:t xml:space="preserve">3 / 5</w:t>
            </w:r>
          </w:p>
        </w:tc>
        <w:tc>
          <w:tcPr>
            <w:tcW w:w="1676" w:type="dxa"/>
            <w:noWrap/>
          </w:tcPr>
          <w:p>
            <w:pPr>
              <w:jc w:val="end"/>
              <w:spacing w:after="0"/>
            </w:pPr>
            <w:r>
              <w:rPr>
                <w:color w:val="3B3A5E"/>
                <w:sz w:val="18"/>
                <w:szCs w:val="18"/>
                <w:b w:val="1"/>
                <w:bCs w:val="1"/>
              </w:rPr>
              <w:t xml:space="preserve">60 %</w:t>
            </w:r>
          </w:p>
        </w:tc>
      </w:tr>
      <w:tr>
        <w:trPr/>
        <w:tc>
          <w:tcPr>
            <w:tcW w:w="6510" w:type="dxa"/>
            <w:shd w:val="clear" w:fill="FAF9F6"/>
            <w:noWrap/>
          </w:tcPr>
          <w:p>
            <w:pPr>
              <w:jc w:val="start"/>
              <w:spacing w:after="0"/>
            </w:pPr>
            <w:r>
              <w:rPr>
                <w:sz w:val="18"/>
                <w:szCs w:val="18"/>
              </w:rPr>
              <w:t xml:space="preserve">Eau propre</w:t>
            </w:r>
          </w:p>
        </w:tc>
        <w:tc>
          <w:tcPr>
            <w:tcW w:w="1676" w:type="dxa"/>
            <w:shd w:val="clear" w:fill="FAF9F6"/>
            <w:noWrap/>
          </w:tcPr>
          <w:p>
            <w:pPr>
              <w:jc w:val="end"/>
              <w:spacing w:after="0"/>
            </w:pPr>
            <w:r>
              <w:rPr>
                <w:color w:val="3B3A5E"/>
                <w:sz w:val="18"/>
                <w:szCs w:val="18"/>
                <w:b w:val="1"/>
                <w:bCs w:val="1"/>
              </w:rPr>
              <w:t xml:space="preserve">3 / 5</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Danger dans l'environnement scolaire</w:t>
            </w:r>
          </w:p>
        </w:tc>
        <w:tc>
          <w:tcPr>
            <w:tcW w:w="1676" w:type="dxa"/>
            <w:noWrap/>
          </w:tcPr>
          <w:p>
            <w:pPr>
              <w:jc w:val="end"/>
              <w:spacing w:after="0"/>
            </w:pPr>
            <w:r>
              <w:rPr>
                <w:color w:val="3B3A5E"/>
                <w:sz w:val="18"/>
                <w:szCs w:val="18"/>
                <w:b w:val="1"/>
                <w:bCs w:val="1"/>
              </w:rPr>
              <w:t xml:space="preserve">5 / 10</w:t>
            </w:r>
          </w:p>
        </w:tc>
        <w:tc>
          <w:tcPr>
            <w:tcW w:w="1676" w:type="dxa"/>
            <w:noWrap/>
          </w:tcPr>
          <w:p>
            <w:pPr>
              <w:jc w:val="end"/>
              <w:spacing w:after="0"/>
            </w:pPr>
            <w:r>
              <w:rPr>
                <w:color w:val="3B3A5E"/>
                <w:sz w:val="18"/>
                <w:szCs w:val="18"/>
                <w:b w:val="1"/>
                <w:bCs w:val="1"/>
              </w:rPr>
              <w:t xml:space="preserve">50 %</w:t>
            </w:r>
          </w:p>
        </w:tc>
      </w:tr>
      <w:tr>
        <w:trPr/>
        <w:tc>
          <w:tcPr>
            <w:tcW w:w="6510" w:type="dxa"/>
            <w:shd w:val="clear" w:fill="FAF9F6"/>
            <w:noWrap/>
          </w:tcPr>
          <w:p>
            <w:pPr>
              <w:jc w:val="start"/>
              <w:spacing w:after="0"/>
            </w:pPr>
            <w:r>
              <w:rPr>
                <w:sz w:val="18"/>
                <w:szCs w:val="18"/>
              </w:rPr>
              <w:t xml:space="preserve">Qualité des matériaux</w:t>
            </w:r>
          </w:p>
        </w:tc>
        <w:tc>
          <w:tcPr>
            <w:tcW w:w="1676" w:type="dxa"/>
            <w:shd w:val="clear" w:fill="FAF9F6"/>
            <w:noWrap/>
          </w:tcPr>
          <w:p>
            <w:pPr>
              <w:jc w:val="end"/>
              <w:spacing w:after="0"/>
            </w:pPr>
            <w:r>
              <w:rPr>
                <w:color w:val="3B3A5E"/>
                <w:sz w:val="18"/>
                <w:szCs w:val="18"/>
                <w:b w:val="1"/>
                <w:bCs w:val="1"/>
              </w:rPr>
              <w:t xml:space="preserve">5 / 10</w:t>
            </w:r>
          </w:p>
        </w:tc>
        <w:tc>
          <w:tcPr>
            <w:tcW w:w="1676" w:type="dxa"/>
            <w:shd w:val="clear" w:fill="FAF9F6"/>
            <w:noWrap/>
          </w:tcPr>
          <w:p>
            <w:pPr>
              <w:jc w:val="end"/>
              <w:spacing w:after="0"/>
            </w:pPr>
            <w:r>
              <w:rPr>
                <w:color w:val="3B3A5E"/>
                <w:sz w:val="18"/>
                <w:szCs w:val="18"/>
                <w:b w:val="1"/>
                <w:bCs w:val="1"/>
              </w:rPr>
              <w:t xml:space="preserve">50 %</w:t>
            </w:r>
          </w:p>
        </w:tc>
      </w:tr>
    </w:tbl>
    <w:p>
      <w:pPr>
        <w:rPr>
          <w:sz w:val="8"/>
          <w:szCs w:val="8"/>
        </w:rPr>
      </w:pPr>
    </w:p>
    <w:p>
      <w:r>
        <w:br w:type="page"/>
      </w:r>
    </w:p>
    <w:p>
      <w:pPr/>
      <w:r>
        <w:rPr>
          <w:rStyle w:val="kicker"/>
        </w:rPr>
        <w:t xml:space="preserve">5</w:t>
      </w:r>
    </w:p>
    <w:p>
      <w:pPr>
        <w:pStyle w:val="Heading1"/>
      </w:pPr>
      <w:bookmarkStart w:id="15" w:name="_Toc15"/>
      <w:r>
        <w:t>Écoles et provinces</w:t>
      </w:r>
      <w:bookmarkEnd w:id="15"/>
    </w:p>
    <w:p>
      <w:pPr>
        <w:pStyle w:val="Heading2"/>
      </w:pPr>
      <w:bookmarkStart w:id="16" w:name="_Toc16"/>
      <w:r>
        <w:t>Problèmes par province</w:t>
      </w:r>
      <w:bookmarkEnd w:id="16"/>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Province</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Part</w:t>
            </w:r>
          </w:p>
        </w:tc>
      </w:tr>
      <w:tr>
        <w:trPr/>
        <w:tc>
          <w:tcPr>
            <w:tcW w:w="6510" w:type="dxa"/>
            <w:noWrap/>
          </w:tcPr>
          <w:p>
            <w:pPr>
              <w:jc w:val="start"/>
              <w:spacing w:after="0"/>
            </w:pPr>
            <w:r>
              <w:rPr>
                <w:sz w:val="18"/>
                <w:szCs w:val="18"/>
              </w:rPr>
              <w:t xml:space="preserve">Sud-Kivu</w:t>
            </w:r>
          </w:p>
        </w:tc>
        <w:tc>
          <w:tcPr>
            <w:tcW w:w="1676" w:type="dxa"/>
            <w:noWrap/>
          </w:tcPr>
          <w:p>
            <w:pPr>
              <w:jc w:val="end"/>
              <w:spacing w:after="0"/>
            </w:pPr>
            <w:r>
              <w:rPr>
                <w:color w:val="3B3A5E"/>
                <w:sz w:val="18"/>
                <w:szCs w:val="18"/>
                <w:b w:val="1"/>
                <w:bCs w:val="1"/>
              </w:rPr>
              <w:t xml:space="preserve">143</w:t>
            </w:r>
          </w:p>
        </w:tc>
        <w:tc>
          <w:tcPr>
            <w:tcW w:w="1676" w:type="dxa"/>
            <w:noWrap/>
          </w:tcPr>
          <w:p>
            <w:pPr>
              <w:jc w:val="end"/>
              <w:spacing w:after="0"/>
            </w:pPr>
            <w:r>
              <w:rPr>
                <w:color w:val="3B3A5E"/>
                <w:sz w:val="18"/>
                <w:szCs w:val="18"/>
                <w:b w:val="1"/>
                <w:bCs w:val="1"/>
              </w:rPr>
              <w:t xml:space="preserve">61 %</w:t>
            </w:r>
          </w:p>
        </w:tc>
      </w:tr>
      <w:tr>
        <w:trPr/>
        <w:tc>
          <w:tcPr>
            <w:tcW w:w="6510" w:type="dxa"/>
            <w:shd w:val="clear" w:fill="FAF9F6"/>
            <w:noWrap/>
          </w:tcPr>
          <w:p>
            <w:pPr>
              <w:jc w:val="start"/>
              <w:spacing w:after="0"/>
            </w:pPr>
            <w:r>
              <w:rPr>
                <w:sz w:val="18"/>
                <w:szCs w:val="18"/>
              </w:rPr>
              <w:t xml:space="preserve">Kinshasa</w:t>
            </w:r>
          </w:p>
        </w:tc>
        <w:tc>
          <w:tcPr>
            <w:tcW w:w="1676" w:type="dxa"/>
            <w:shd w:val="clear" w:fill="FAF9F6"/>
            <w:noWrap/>
          </w:tcPr>
          <w:p>
            <w:pPr>
              <w:jc w:val="end"/>
              <w:spacing w:after="0"/>
            </w:pPr>
            <w:r>
              <w:rPr>
                <w:color w:val="3B3A5E"/>
                <w:sz w:val="18"/>
                <w:szCs w:val="18"/>
                <w:b w:val="1"/>
                <w:bCs w:val="1"/>
              </w:rPr>
              <w:t xml:space="preserve">93</w:t>
            </w:r>
          </w:p>
        </w:tc>
        <w:tc>
          <w:tcPr>
            <w:tcW w:w="1676" w:type="dxa"/>
            <w:shd w:val="clear" w:fill="FAF9F6"/>
            <w:noWrap/>
          </w:tcPr>
          <w:p>
            <w:pPr>
              <w:jc w:val="end"/>
              <w:spacing w:after="0"/>
            </w:pPr>
            <w:r>
              <w:rPr>
                <w:color w:val="3B3A5E"/>
                <w:sz w:val="18"/>
                <w:szCs w:val="18"/>
                <w:b w:val="1"/>
                <w:bCs w:val="1"/>
              </w:rPr>
              <w:t xml:space="preserve">39 %</w:t>
            </w:r>
          </w:p>
        </w:tc>
      </w:tr>
    </w:tbl>
    <w:p>
      <w:pPr>
        <w:rPr>
          <w:sz w:val="8"/>
          <w:szCs w:val="8"/>
        </w:rPr>
      </w:pPr>
    </w:p>
    <w:p>
      <w:pPr>
        <w:pStyle w:val="Heading2"/>
      </w:pPr>
      <w:bookmarkStart w:id="17" w:name="_Toc17"/>
      <w:r>
        <w:t>Écoles et chantiers ayant le plus de problèmes ouverts</w:t>
      </w:r>
      <w:bookmarkEnd w:id="17"/>
    </w:p>
    <w:tbl>
      <w:tblGrid>
        <w:gridCol w:w="789" w:type="dxa"/>
        <w:gridCol w:w="7595"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7595" w:type="dxa"/>
            <w:shd w:val="clear" w:fill="3B3A5E"/>
            <w:noWrap/>
          </w:tcPr>
          <w:p>
            <w:pPr>
              <w:jc w:val="end"/>
              <w:spacing w:after="0"/>
            </w:pPr>
            <w:r>
              <w:rPr>
                <w:color w:val="FFFFFF"/>
                <w:sz w:val="17"/>
                <w:szCs w:val="17"/>
                <w:b w:val="1"/>
                <w:bCs w:val="1"/>
              </w:rPr>
              <w:t xml:space="preserve">École ou chantier</w:t>
            </w:r>
          </w:p>
        </w:tc>
        <w:tc>
          <w:tcPr>
            <w:tcW w:w="1479" w:type="dxa"/>
            <w:shd w:val="clear" w:fill="3B3A5E"/>
            <w:noWrap/>
          </w:tcPr>
          <w:p>
            <w:pPr>
              <w:jc w:val="end"/>
              <w:spacing w:after="0"/>
            </w:pPr>
            <w:r>
              <w:rPr>
                <w:color w:val="FFFFFF"/>
                <w:sz w:val="17"/>
                <w:szCs w:val="17"/>
                <w:b w:val="1"/>
                <w:bCs w:val="1"/>
              </w:rPr>
              <w:t xml:space="preserve">Ouverts</w:t>
            </w:r>
          </w:p>
        </w:tc>
      </w:tr>
      <w:tr>
        <w:trPr/>
        <w:tc>
          <w:tcPr>
            <w:tcW w:w="789" w:type="dxa"/>
            <w:noWrap/>
          </w:tcPr>
          <w:p>
            <w:pPr>
              <w:jc w:val="start"/>
              <w:spacing w:after="0"/>
            </w:pPr>
            <w:r>
              <w:rPr>
                <w:sz w:val="18"/>
                <w:szCs w:val="18"/>
              </w:rPr>
              <w:t xml:space="preserve">1</w:t>
            </w:r>
          </w:p>
        </w:tc>
        <w:tc>
          <w:tcPr>
            <w:tcW w:w="7595" w:type="dxa"/>
            <w:noWrap/>
          </w:tcPr>
          <w:p>
            <w:pPr>
              <w:jc w:val="end"/>
              <w:spacing w:after="0"/>
            </w:pPr>
            <w:r>
              <w:rPr>
                <w:color w:val="3B3A5E"/>
                <w:sz w:val="18"/>
                <w:szCs w:val="18"/>
                <w:b w:val="1"/>
                <w:bCs w:val="1"/>
              </w:rPr>
              <w:t xml:space="preserve">Fourniture de 120 pupitres — Centre de formation Les Volcans</w:t>
            </w:r>
          </w:p>
        </w:tc>
        <w:tc>
          <w:tcPr>
            <w:tcW w:w="1479" w:type="dxa"/>
            <w:noWrap/>
          </w:tcPr>
          <w:p>
            <w:pPr>
              <w:jc w:val="end"/>
              <w:spacing w:after="0"/>
            </w:pPr>
            <w:r>
              <w:rPr>
                <w:color w:val="3B3A5E"/>
                <w:sz w:val="18"/>
                <w:szCs w:val="18"/>
                <w:b w:val="1"/>
                <w:bCs w:val="1"/>
              </w:rPr>
              <w:t xml:space="preserve">7</w:t>
            </w:r>
          </w:p>
        </w:tc>
      </w:tr>
      <w:tr>
        <w:trPr/>
        <w:tc>
          <w:tcPr>
            <w:tcW w:w="789" w:type="dxa"/>
            <w:shd w:val="clear" w:fill="FAF9F6"/>
            <w:noWrap/>
          </w:tcPr>
          <w:p>
            <w:pPr>
              <w:jc w:val="start"/>
              <w:spacing w:after="0"/>
            </w:pPr>
            <w:r>
              <w:rPr>
                <w:sz w:val="18"/>
                <w:szCs w:val="18"/>
              </w:rPr>
              <w:t xml:space="preserve">2</w:t>
            </w:r>
          </w:p>
        </w:tc>
        <w:tc>
          <w:tcPr>
            <w:tcW w:w="7595" w:type="dxa"/>
            <w:shd w:val="clear" w:fill="FAF9F6"/>
            <w:noWrap/>
          </w:tcPr>
          <w:p>
            <w:pPr>
              <w:jc w:val="end"/>
              <w:spacing w:after="0"/>
            </w:pPr>
            <w:r>
              <w:rPr>
                <w:color w:val="3B3A5E"/>
                <w:sz w:val="18"/>
                <w:szCs w:val="18"/>
                <w:b w:val="1"/>
                <w:bCs w:val="1"/>
              </w:rPr>
              <w:t xml:space="preserve">Institut La Réussite</w:t>
            </w:r>
          </w:p>
        </w:tc>
        <w:tc>
          <w:tcPr>
            <w:tcW w:w="1479" w:type="dxa"/>
            <w:shd w:val="clear" w:fill="FAF9F6"/>
            <w:noWrap/>
          </w:tcPr>
          <w:p>
            <w:pPr>
              <w:jc w:val="end"/>
              <w:spacing w:after="0"/>
            </w:pPr>
            <w:r>
              <w:rPr>
                <w:color w:val="3B3A5E"/>
                <w:sz w:val="18"/>
                <w:szCs w:val="18"/>
                <w:b w:val="1"/>
                <w:bCs w:val="1"/>
              </w:rPr>
              <w:t xml:space="preserve">6</w:t>
            </w:r>
          </w:p>
        </w:tc>
      </w:tr>
      <w:tr>
        <w:trPr/>
        <w:tc>
          <w:tcPr>
            <w:tcW w:w="789" w:type="dxa"/>
            <w:noWrap/>
          </w:tcPr>
          <w:p>
            <w:pPr>
              <w:jc w:val="start"/>
              <w:spacing w:after="0"/>
            </w:pPr>
            <w:r>
              <w:rPr>
                <w:sz w:val="18"/>
                <w:szCs w:val="18"/>
              </w:rPr>
              <w:t xml:space="preserve">3</w:t>
            </w:r>
          </w:p>
        </w:tc>
        <w:tc>
          <w:tcPr>
            <w:tcW w:w="7595" w:type="dxa"/>
            <w:noWrap/>
          </w:tcPr>
          <w:p>
            <w:pPr>
              <w:jc w:val="end"/>
              <w:spacing w:after="0"/>
            </w:pPr>
            <w:r>
              <w:rPr>
                <w:color w:val="3B3A5E"/>
                <w:sz w:val="18"/>
                <w:szCs w:val="18"/>
                <w:b w:val="1"/>
                <w:bCs w:val="1"/>
              </w:rPr>
              <w:t xml:space="preserve">Latrines séparées filles / garçons — Institut Uzima</w:t>
            </w:r>
          </w:p>
        </w:tc>
        <w:tc>
          <w:tcPr>
            <w:tcW w:w="1479" w:type="dxa"/>
            <w:noWrap/>
          </w:tcPr>
          <w:p>
            <w:pPr>
              <w:jc w:val="end"/>
              <w:spacing w:after="0"/>
            </w:pPr>
            <w:r>
              <w:rPr>
                <w:color w:val="3B3A5E"/>
                <w:sz w:val="18"/>
                <w:szCs w:val="18"/>
                <w:b w:val="1"/>
                <w:bCs w:val="1"/>
              </w:rPr>
              <w:t xml:space="preserve">5</w:t>
            </w:r>
          </w:p>
        </w:tc>
      </w:tr>
      <w:tr>
        <w:trPr/>
        <w:tc>
          <w:tcPr>
            <w:tcW w:w="789" w:type="dxa"/>
            <w:shd w:val="clear" w:fill="FAF9F6"/>
            <w:noWrap/>
          </w:tcPr>
          <w:p>
            <w:pPr>
              <w:jc w:val="start"/>
              <w:spacing w:after="0"/>
            </w:pPr>
            <w:r>
              <w:rPr>
                <w:sz w:val="18"/>
                <w:szCs w:val="18"/>
              </w:rPr>
              <w:t xml:space="preserve">4</w:t>
            </w:r>
          </w:p>
        </w:tc>
        <w:tc>
          <w:tcPr>
            <w:tcW w:w="7595" w:type="dxa"/>
            <w:shd w:val="clear" w:fill="FAF9F6"/>
            <w:noWrap/>
          </w:tcPr>
          <w:p>
            <w:pPr>
              <w:jc w:val="end"/>
              <w:spacing w:after="0"/>
            </w:pPr>
            <w:r>
              <w:rPr>
                <w:color w:val="3B3A5E"/>
                <w:sz w:val="18"/>
                <w:szCs w:val="18"/>
                <w:b w:val="1"/>
                <w:bCs w:val="1"/>
              </w:rPr>
              <w:t xml:space="preserve">Citerne de récupération d’eau de pluie — Institut technique Matumaini</w:t>
            </w:r>
          </w:p>
        </w:tc>
        <w:tc>
          <w:tcPr>
            <w:tcW w:w="1479" w:type="dxa"/>
            <w:shd w:val="clear" w:fill="FAF9F6"/>
            <w:noWrap/>
          </w:tcPr>
          <w:p>
            <w:pPr>
              <w:jc w:val="end"/>
              <w:spacing w:after="0"/>
            </w:pPr>
            <w:r>
              <w:rPr>
                <w:color w:val="3B3A5E"/>
                <w:sz w:val="18"/>
                <w:szCs w:val="18"/>
                <w:b w:val="1"/>
                <w:bCs w:val="1"/>
              </w:rPr>
              <w:t xml:space="preserve">5</w:t>
            </w:r>
          </w:p>
        </w:tc>
      </w:tr>
      <w:tr>
        <w:trPr/>
        <w:tc>
          <w:tcPr>
            <w:tcW w:w="789" w:type="dxa"/>
            <w:noWrap/>
          </w:tcPr>
          <w:p>
            <w:pPr>
              <w:jc w:val="start"/>
              <w:spacing w:after="0"/>
            </w:pPr>
            <w:r>
              <w:rPr>
                <w:sz w:val="18"/>
                <w:szCs w:val="18"/>
              </w:rPr>
              <w:t xml:space="preserve">5</w:t>
            </w:r>
          </w:p>
        </w:tc>
        <w:tc>
          <w:tcPr>
            <w:tcW w:w="7595" w:type="dxa"/>
            <w:noWrap/>
          </w:tcPr>
          <w:p>
            <w:pPr>
              <w:jc w:val="end"/>
              <w:spacing w:after="0"/>
            </w:pPr>
            <w:r>
              <w:rPr>
                <w:color w:val="3B3A5E"/>
                <w:sz w:val="18"/>
                <w:szCs w:val="18"/>
                <w:b w:val="1"/>
                <w:bCs w:val="1"/>
              </w:rPr>
              <w:t xml:space="preserve">Institut Tumaini Jipya</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6</w:t>
            </w:r>
          </w:p>
        </w:tc>
        <w:tc>
          <w:tcPr>
            <w:tcW w:w="7595" w:type="dxa"/>
            <w:shd w:val="clear" w:fill="FAF9F6"/>
            <w:noWrap/>
          </w:tcPr>
          <w:p>
            <w:pPr>
              <w:jc w:val="end"/>
              <w:spacing w:after="0"/>
            </w:pPr>
            <w:r>
              <w:rPr>
                <w:color w:val="3B3A5E"/>
                <w:sz w:val="18"/>
                <w:szCs w:val="18"/>
                <w:b w:val="1"/>
                <w:bCs w:val="1"/>
              </w:rPr>
              <w:t xml:space="preserve">Centre de formation Les Volcans</w:t>
            </w:r>
          </w:p>
        </w:tc>
        <w:tc>
          <w:tcPr>
            <w:tcW w:w="1479" w:type="dxa"/>
            <w:shd w:val="clear" w:fill="FAF9F6"/>
            <w:noWrap/>
          </w:tcPr>
          <w:p>
            <w:pPr>
              <w:jc w:val="end"/>
              <w:spacing w:after="0"/>
            </w:pPr>
            <w:r>
              <w:rPr>
                <w:color w:val="3B3A5E"/>
                <w:sz w:val="18"/>
                <w:szCs w:val="18"/>
                <w:b w:val="1"/>
                <w:bCs w:val="1"/>
              </w:rPr>
              <w:t xml:space="preserve">4</w:t>
            </w:r>
          </w:p>
        </w:tc>
      </w:tr>
      <w:tr>
        <w:trPr/>
        <w:tc>
          <w:tcPr>
            <w:tcW w:w="789" w:type="dxa"/>
            <w:noWrap/>
          </w:tcPr>
          <w:p>
            <w:pPr>
              <w:jc w:val="start"/>
              <w:spacing w:after="0"/>
            </w:pPr>
            <w:r>
              <w:rPr>
                <w:sz w:val="18"/>
                <w:szCs w:val="18"/>
              </w:rPr>
              <w:t xml:space="preserve">7</w:t>
            </w:r>
          </w:p>
        </w:tc>
        <w:tc>
          <w:tcPr>
            <w:tcW w:w="7595" w:type="dxa"/>
            <w:noWrap/>
          </w:tcPr>
          <w:p>
            <w:pPr>
              <w:jc w:val="end"/>
              <w:spacing w:after="0"/>
            </w:pPr>
            <w:r>
              <w:rPr>
                <w:color w:val="3B3A5E"/>
                <w:sz w:val="18"/>
                <w:szCs w:val="18"/>
                <w:b w:val="1"/>
                <w:bCs w:val="1"/>
              </w:rPr>
              <w:t xml:space="preserve">École primaire Umoja</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8</w:t>
            </w:r>
          </w:p>
        </w:tc>
        <w:tc>
          <w:tcPr>
            <w:tcW w:w="7595" w:type="dxa"/>
            <w:shd w:val="clear" w:fill="FAF9F6"/>
            <w:noWrap/>
          </w:tcPr>
          <w:p>
            <w:pPr>
              <w:jc w:val="end"/>
              <w:spacing w:after="0"/>
            </w:pPr>
            <w:r>
              <w:rPr>
                <w:color w:val="3B3A5E"/>
                <w:sz w:val="18"/>
                <w:szCs w:val="18"/>
                <w:b w:val="1"/>
                <w:bCs w:val="1"/>
              </w:rPr>
              <w:t xml:space="preserve">École primaire Les Grands Lacs</w:t>
            </w:r>
          </w:p>
        </w:tc>
        <w:tc>
          <w:tcPr>
            <w:tcW w:w="1479" w:type="dxa"/>
            <w:shd w:val="clear" w:fill="FAF9F6"/>
            <w:noWrap/>
          </w:tcPr>
          <w:p>
            <w:pPr>
              <w:jc w:val="end"/>
              <w:spacing w:after="0"/>
            </w:pPr>
            <w:r>
              <w:rPr>
                <w:color w:val="3B3A5E"/>
                <w:sz w:val="18"/>
                <w:szCs w:val="18"/>
                <w:b w:val="1"/>
                <w:bCs w:val="1"/>
              </w:rPr>
              <w:t xml:space="preserve">4</w:t>
            </w:r>
          </w:p>
        </w:tc>
      </w:tr>
    </w:tbl>
    <w:p>
      <w:pPr>
        <w:rPr>
          <w:sz w:val="8"/>
          <w:szCs w:val="8"/>
        </w:rPr>
      </w:pPr>
    </w:p>
    <w:p>
      <w:pPr>
        <w:pStyle w:val="Heading2"/>
      </w:pPr>
      <w:bookmarkStart w:id="18" w:name="_Toc18"/>
      <w:r>
        <w:t>Meilleurs taux de correction (au moins 3 problèmes)</w:t>
      </w:r>
      <w:bookmarkEnd w:id="18"/>
    </w:p>
    <w:tbl>
      <w:tblGrid>
        <w:gridCol w:w="789" w:type="dxa"/>
        <w:gridCol w:w="6115" w:type="dxa"/>
        <w:gridCol w:w="1479"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6115" w:type="dxa"/>
            <w:shd w:val="clear" w:fill="3B3A5E"/>
            <w:noWrap/>
          </w:tcPr>
          <w:p>
            <w:pPr>
              <w:jc w:val="end"/>
              <w:spacing w:after="0"/>
            </w:pPr>
            <w:r>
              <w:rPr>
                <w:color w:val="FFFFFF"/>
                <w:sz w:val="17"/>
                <w:szCs w:val="17"/>
                <w:b w:val="1"/>
                <w:bCs w:val="1"/>
              </w:rPr>
              <w:t xml:space="preserve">École ou chantier</w:t>
            </w:r>
          </w:p>
        </w:tc>
        <w:tc>
          <w:tcPr>
            <w:tcW w:w="1479" w:type="dxa"/>
            <w:shd w:val="clear" w:fill="3B3A5E"/>
            <w:noWrap/>
          </w:tcPr>
          <w:p>
            <w:pPr>
              <w:jc w:val="end"/>
              <w:spacing w:after="0"/>
            </w:pPr>
            <w:r>
              <w:rPr>
                <w:color w:val="FFFFFF"/>
                <w:sz w:val="17"/>
                <w:szCs w:val="17"/>
                <w:b w:val="1"/>
                <w:bCs w:val="1"/>
              </w:rPr>
              <w:t xml:space="preserve">Problèmes</w:t>
            </w:r>
          </w:p>
        </w:tc>
        <w:tc>
          <w:tcPr>
            <w:tcW w:w="1479" w:type="dxa"/>
            <w:shd w:val="clear" w:fill="3B3A5E"/>
            <w:noWrap/>
          </w:tcPr>
          <w:p>
            <w:pPr>
              <w:jc w:val="end"/>
              <w:spacing w:after="0"/>
            </w:pPr>
            <w:r>
              <w:rPr>
                <w:color w:val="FFFFFF"/>
                <w:sz w:val="17"/>
                <w:szCs w:val="17"/>
                <w:b w:val="1"/>
                <w:bCs w:val="1"/>
              </w:rPr>
              <w:t xml:space="preserve">Taux</w:t>
            </w:r>
          </w:p>
        </w:tc>
      </w:tr>
      <w:tr>
        <w:trPr/>
        <w:tc>
          <w:tcPr>
            <w:tcW w:w="789" w:type="dxa"/>
            <w:noWrap/>
          </w:tcPr>
          <w:p>
            <w:pPr>
              <w:jc w:val="start"/>
              <w:spacing w:after="0"/>
            </w:pPr>
            <w:r>
              <w:rPr>
                <w:sz w:val="18"/>
                <w:szCs w:val="18"/>
              </w:rPr>
              <w:t xml:space="preserve">1</w:t>
            </w:r>
          </w:p>
        </w:tc>
        <w:tc>
          <w:tcPr>
            <w:tcW w:w="6115" w:type="dxa"/>
            <w:noWrap/>
          </w:tcPr>
          <w:p>
            <w:pPr>
              <w:jc w:val="end"/>
              <w:spacing w:after="0"/>
            </w:pPr>
            <w:r>
              <w:rPr>
                <w:color w:val="3B3A5E"/>
                <w:sz w:val="18"/>
                <w:szCs w:val="18"/>
                <w:b w:val="1"/>
                <w:bCs w:val="1"/>
              </w:rPr>
              <w:t xml:space="preserve">Institut Mabele</w:t>
            </w:r>
          </w:p>
        </w:tc>
        <w:tc>
          <w:tcPr>
            <w:tcW w:w="1479" w:type="dxa"/>
            <w:noWrap/>
          </w:tcPr>
          <w:p>
            <w:pPr>
              <w:jc w:val="end"/>
              <w:spacing w:after="0"/>
            </w:pPr>
            <w:r>
              <w:rPr>
                <w:color w:val="3B3A5E"/>
                <w:sz w:val="18"/>
                <w:szCs w:val="18"/>
                <w:b w:val="1"/>
                <w:bCs w:val="1"/>
              </w:rPr>
              <w:t xml:space="preserve">3</w:t>
            </w:r>
          </w:p>
        </w:tc>
        <w:tc>
          <w:tcPr>
            <w:tcW w:w="1479" w:type="dxa"/>
            <w:noWrap/>
          </w:tcPr>
          <w:p>
            <w:pPr>
              <w:jc w:val="end"/>
              <w:spacing w:after="0"/>
            </w:pPr>
            <w:r>
              <w:rPr>
                <w:color w:val="3B3A5E"/>
                <w:sz w:val="18"/>
                <w:szCs w:val="18"/>
                <w:b w:val="1"/>
                <w:bCs w:val="1"/>
              </w:rPr>
              <w:t xml:space="preserve">100 %</w:t>
            </w:r>
          </w:p>
        </w:tc>
      </w:tr>
      <w:tr>
        <w:trPr/>
        <w:tc>
          <w:tcPr>
            <w:tcW w:w="789" w:type="dxa"/>
            <w:shd w:val="clear" w:fill="FAF9F6"/>
            <w:noWrap/>
          </w:tcPr>
          <w:p>
            <w:pPr>
              <w:jc w:val="start"/>
              <w:spacing w:after="0"/>
            </w:pPr>
            <w:r>
              <w:rPr>
                <w:sz w:val="18"/>
                <w:szCs w:val="18"/>
              </w:rPr>
              <w:t xml:space="preserve">2</w:t>
            </w:r>
          </w:p>
        </w:tc>
        <w:tc>
          <w:tcPr>
            <w:tcW w:w="6115" w:type="dxa"/>
            <w:shd w:val="clear" w:fill="FAF9F6"/>
            <w:noWrap/>
          </w:tcPr>
          <w:p>
            <w:pPr>
              <w:jc w:val="end"/>
              <w:spacing w:after="0"/>
            </w:pPr>
            <w:r>
              <w:rPr>
                <w:color w:val="3B3A5E"/>
                <w:sz w:val="18"/>
                <w:szCs w:val="18"/>
                <w:b w:val="1"/>
                <w:bCs w:val="1"/>
              </w:rPr>
              <w:t xml:space="preserve">Institut Uzima</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83 %</w:t>
            </w:r>
          </w:p>
        </w:tc>
      </w:tr>
      <w:tr>
        <w:trPr/>
        <w:tc>
          <w:tcPr>
            <w:tcW w:w="789" w:type="dxa"/>
            <w:noWrap/>
          </w:tcPr>
          <w:p>
            <w:pPr>
              <w:jc w:val="start"/>
              <w:spacing w:after="0"/>
            </w:pPr>
            <w:r>
              <w:rPr>
                <w:sz w:val="18"/>
                <w:szCs w:val="18"/>
              </w:rPr>
              <w:t xml:space="preserve">3</w:t>
            </w:r>
          </w:p>
        </w:tc>
        <w:tc>
          <w:tcPr>
            <w:tcW w:w="6115" w:type="dxa"/>
            <w:noWrap/>
          </w:tcPr>
          <w:p>
            <w:pPr>
              <w:jc w:val="end"/>
              <w:spacing w:after="0"/>
            </w:pPr>
            <w:r>
              <w:rPr>
                <w:color w:val="3B3A5E"/>
                <w:sz w:val="18"/>
                <w:szCs w:val="18"/>
                <w:b w:val="1"/>
                <w:bCs w:val="1"/>
              </w:rPr>
              <w:t xml:space="preserve">Institut technique Matumaini</w:t>
            </w:r>
          </w:p>
        </w:tc>
        <w:tc>
          <w:tcPr>
            <w:tcW w:w="1479" w:type="dxa"/>
            <w:noWrap/>
          </w:tcPr>
          <w:p>
            <w:pPr>
              <w:jc w:val="end"/>
              <w:spacing w:after="0"/>
            </w:pPr>
            <w:r>
              <w:rPr>
                <w:color w:val="3B3A5E"/>
                <w:sz w:val="18"/>
                <w:szCs w:val="18"/>
                <w:b w:val="1"/>
                <w:bCs w:val="1"/>
              </w:rPr>
              <w:t xml:space="preserve">4</w:t>
            </w:r>
          </w:p>
        </w:tc>
        <w:tc>
          <w:tcPr>
            <w:tcW w:w="1479" w:type="dxa"/>
            <w:noWrap/>
          </w:tcPr>
          <w:p>
            <w:pPr>
              <w:jc w:val="end"/>
              <w:spacing w:after="0"/>
            </w:pPr>
            <w:r>
              <w:rPr>
                <w:color w:val="3B3A5E"/>
                <w:sz w:val="18"/>
                <w:szCs w:val="18"/>
                <w:b w:val="1"/>
                <w:bCs w:val="1"/>
              </w:rPr>
              <w:t xml:space="preserve">75 %</w:t>
            </w:r>
          </w:p>
        </w:tc>
      </w:tr>
      <w:tr>
        <w:trPr/>
        <w:tc>
          <w:tcPr>
            <w:tcW w:w="789" w:type="dxa"/>
            <w:shd w:val="clear" w:fill="FAF9F6"/>
            <w:noWrap/>
          </w:tcPr>
          <w:p>
            <w:pPr>
              <w:jc w:val="start"/>
              <w:spacing w:after="0"/>
            </w:pPr>
            <w:r>
              <w:rPr>
                <w:sz w:val="18"/>
                <w:szCs w:val="18"/>
              </w:rPr>
              <w:t xml:space="preserve">4</w:t>
            </w:r>
          </w:p>
        </w:tc>
        <w:tc>
          <w:tcPr>
            <w:tcW w:w="6115" w:type="dxa"/>
            <w:shd w:val="clear" w:fill="FAF9F6"/>
            <w:noWrap/>
          </w:tcPr>
          <w:p>
            <w:pPr>
              <w:jc w:val="end"/>
              <w:spacing w:after="0"/>
            </w:pPr>
            <w:r>
              <w:rPr>
                <w:color w:val="3B3A5E"/>
                <w:sz w:val="18"/>
                <w:szCs w:val="18"/>
                <w:b w:val="1"/>
                <w:bCs w:val="1"/>
              </w:rPr>
              <w:t xml:space="preserve">Adduction d’eau potable — Institut La Victoire</w:t>
            </w:r>
          </w:p>
        </w:tc>
        <w:tc>
          <w:tcPr>
            <w:tcW w:w="1479" w:type="dxa"/>
            <w:shd w:val="clear" w:fill="FAF9F6"/>
            <w:noWrap/>
          </w:tcPr>
          <w:p>
            <w:pPr>
              <w:jc w:val="end"/>
              <w:spacing w:after="0"/>
            </w:pPr>
            <w:r>
              <w:rPr>
                <w:color w:val="3B3A5E"/>
                <w:sz w:val="18"/>
                <w:szCs w:val="18"/>
                <w:b w:val="1"/>
                <w:bCs w:val="1"/>
              </w:rPr>
              <w:t xml:space="preserve">7</w:t>
            </w:r>
          </w:p>
        </w:tc>
        <w:tc>
          <w:tcPr>
            <w:tcW w:w="1479" w:type="dxa"/>
            <w:shd w:val="clear" w:fill="FAF9F6"/>
            <w:noWrap/>
          </w:tcPr>
          <w:p>
            <w:pPr>
              <w:jc w:val="end"/>
              <w:spacing w:after="0"/>
            </w:pPr>
            <w:r>
              <w:rPr>
                <w:color w:val="3B3A5E"/>
                <w:sz w:val="18"/>
                <w:szCs w:val="18"/>
                <w:b w:val="1"/>
                <w:bCs w:val="1"/>
              </w:rPr>
              <w:t xml:space="preserve">71 %</w:t>
            </w:r>
          </w:p>
        </w:tc>
      </w:tr>
      <w:tr>
        <w:trPr/>
        <w:tc>
          <w:tcPr>
            <w:tcW w:w="789" w:type="dxa"/>
            <w:noWrap/>
          </w:tcPr>
          <w:p>
            <w:pPr>
              <w:jc w:val="start"/>
              <w:spacing w:after="0"/>
            </w:pPr>
            <w:r>
              <w:rPr>
                <w:sz w:val="18"/>
                <w:szCs w:val="18"/>
              </w:rPr>
              <w:t xml:space="preserve">5</w:t>
            </w:r>
          </w:p>
        </w:tc>
        <w:tc>
          <w:tcPr>
            <w:tcW w:w="6115" w:type="dxa"/>
            <w:noWrap/>
          </w:tcPr>
          <w:p>
            <w:pPr>
              <w:jc w:val="end"/>
              <w:spacing w:after="0"/>
            </w:pPr>
            <w:r>
              <w:rPr>
                <w:color w:val="3B3A5E"/>
                <w:sz w:val="18"/>
                <w:szCs w:val="18"/>
                <w:b w:val="1"/>
                <w:bCs w:val="1"/>
              </w:rPr>
              <w:t xml:space="preserve">Réhabilitation d’un bâtiment scolaire — Institut technique Le Progrès</w:t>
            </w:r>
          </w:p>
        </w:tc>
        <w:tc>
          <w:tcPr>
            <w:tcW w:w="1479" w:type="dxa"/>
            <w:noWrap/>
          </w:tcPr>
          <w:p>
            <w:pPr>
              <w:jc w:val="end"/>
              <w:spacing w:after="0"/>
            </w:pPr>
            <w:r>
              <w:rPr>
                <w:color w:val="3B3A5E"/>
                <w:sz w:val="18"/>
                <w:szCs w:val="18"/>
                <w:b w:val="1"/>
                <w:bCs w:val="1"/>
              </w:rPr>
              <w:t xml:space="preserve">7</w:t>
            </w:r>
          </w:p>
        </w:tc>
        <w:tc>
          <w:tcPr>
            <w:tcW w:w="1479" w:type="dxa"/>
            <w:noWrap/>
          </w:tcPr>
          <w:p>
            <w:pPr>
              <w:jc w:val="end"/>
              <w:spacing w:after="0"/>
            </w:pPr>
            <w:r>
              <w:rPr>
                <w:color w:val="3B3A5E"/>
                <w:sz w:val="18"/>
                <w:szCs w:val="18"/>
                <w:b w:val="1"/>
                <w:bCs w:val="1"/>
              </w:rPr>
              <w:t xml:space="preserve">71 %</w:t>
            </w:r>
          </w:p>
        </w:tc>
      </w:tr>
      <w:tr>
        <w:trPr/>
        <w:tc>
          <w:tcPr>
            <w:tcW w:w="789" w:type="dxa"/>
            <w:shd w:val="clear" w:fill="FAF9F6"/>
            <w:noWrap/>
          </w:tcPr>
          <w:p>
            <w:pPr>
              <w:jc w:val="start"/>
              <w:spacing w:after="0"/>
            </w:pPr>
            <w:r>
              <w:rPr>
                <w:sz w:val="18"/>
                <w:szCs w:val="18"/>
              </w:rPr>
              <w:t xml:space="preserve">6</w:t>
            </w:r>
          </w:p>
        </w:tc>
        <w:tc>
          <w:tcPr>
            <w:tcW w:w="6115" w:type="dxa"/>
            <w:shd w:val="clear" w:fill="FAF9F6"/>
            <w:noWrap/>
          </w:tcPr>
          <w:p>
            <w:pPr>
              <w:jc w:val="end"/>
              <w:spacing w:after="0"/>
            </w:pPr>
            <w:r>
              <w:rPr>
                <w:color w:val="3B3A5E"/>
                <w:sz w:val="18"/>
                <w:szCs w:val="18"/>
                <w:b w:val="1"/>
                <w:bCs w:val="1"/>
              </w:rPr>
              <w:t xml:space="preserve">Réhabilitation d’un bâtiment scolaire — École primaire Espoir</w:t>
            </w:r>
          </w:p>
        </w:tc>
        <w:tc>
          <w:tcPr>
            <w:tcW w:w="1479" w:type="dxa"/>
            <w:shd w:val="clear" w:fill="FAF9F6"/>
            <w:noWrap/>
          </w:tcPr>
          <w:p>
            <w:pPr>
              <w:jc w:val="end"/>
              <w:spacing w:after="0"/>
            </w:pPr>
            <w:r>
              <w:rPr>
                <w:color w:val="3B3A5E"/>
                <w:sz w:val="18"/>
                <w:szCs w:val="18"/>
                <w:b w:val="1"/>
                <w:bCs w:val="1"/>
              </w:rPr>
              <w:t xml:space="preserve">3</w:t>
            </w:r>
          </w:p>
        </w:tc>
        <w:tc>
          <w:tcPr>
            <w:tcW w:w="1479" w:type="dxa"/>
            <w:shd w:val="clear" w:fill="FAF9F6"/>
            <w:noWrap/>
          </w:tcPr>
          <w:p>
            <w:pPr>
              <w:jc w:val="end"/>
              <w:spacing w:after="0"/>
            </w:pPr>
            <w:r>
              <w:rPr>
                <w:color w:val="3B3A5E"/>
                <w:sz w:val="18"/>
                <w:szCs w:val="18"/>
                <w:b w:val="1"/>
                <w:bCs w:val="1"/>
              </w:rPr>
              <w:t xml:space="preserve">67 %</w:t>
            </w:r>
          </w:p>
        </w:tc>
      </w:tr>
      <w:tr>
        <w:trPr/>
        <w:tc>
          <w:tcPr>
            <w:tcW w:w="789" w:type="dxa"/>
            <w:noWrap/>
          </w:tcPr>
          <w:p>
            <w:pPr>
              <w:jc w:val="start"/>
              <w:spacing w:after="0"/>
            </w:pPr>
            <w:r>
              <w:rPr>
                <w:sz w:val="18"/>
                <w:szCs w:val="18"/>
              </w:rPr>
              <w:t xml:space="preserve">7</w:t>
            </w:r>
          </w:p>
        </w:tc>
        <w:tc>
          <w:tcPr>
            <w:tcW w:w="6115" w:type="dxa"/>
            <w:noWrap/>
          </w:tcPr>
          <w:p>
            <w:pPr>
              <w:jc w:val="end"/>
              <w:spacing w:after="0"/>
            </w:pPr>
            <w:r>
              <w:rPr>
                <w:color w:val="3B3A5E"/>
                <w:sz w:val="18"/>
                <w:szCs w:val="18"/>
                <w:b w:val="1"/>
                <w:bCs w:val="1"/>
              </w:rPr>
              <w:t xml:space="preserve">Équipement d’une bibliothèque — École primaire Umoja</w:t>
            </w:r>
          </w:p>
        </w:tc>
        <w:tc>
          <w:tcPr>
            <w:tcW w:w="1479" w:type="dxa"/>
            <w:noWrap/>
          </w:tcPr>
          <w:p>
            <w:pPr>
              <w:jc w:val="end"/>
              <w:spacing w:after="0"/>
            </w:pPr>
            <w:r>
              <w:rPr>
                <w:color w:val="3B3A5E"/>
                <w:sz w:val="18"/>
                <w:szCs w:val="18"/>
                <w:b w:val="1"/>
                <w:bCs w:val="1"/>
              </w:rPr>
              <w:t xml:space="preserve">9</w:t>
            </w:r>
          </w:p>
        </w:tc>
        <w:tc>
          <w:tcPr>
            <w:tcW w:w="1479" w:type="dxa"/>
            <w:noWrap/>
          </w:tcPr>
          <w:p>
            <w:pPr>
              <w:jc w:val="end"/>
              <w:spacing w:after="0"/>
            </w:pPr>
            <w:r>
              <w:rPr>
                <w:color w:val="3B3A5E"/>
                <w:sz w:val="18"/>
                <w:szCs w:val="18"/>
                <w:b w:val="1"/>
                <w:bCs w:val="1"/>
              </w:rPr>
              <w:t xml:space="preserve">67 %</w:t>
            </w:r>
          </w:p>
        </w:tc>
      </w:tr>
      <w:tr>
        <w:trPr/>
        <w:tc>
          <w:tcPr>
            <w:tcW w:w="789" w:type="dxa"/>
            <w:shd w:val="clear" w:fill="FAF9F6"/>
            <w:noWrap/>
          </w:tcPr>
          <w:p>
            <w:pPr>
              <w:jc w:val="start"/>
              <w:spacing w:after="0"/>
            </w:pPr>
            <w:r>
              <w:rPr>
                <w:sz w:val="18"/>
                <w:szCs w:val="18"/>
              </w:rPr>
              <w:t xml:space="preserve">8</w:t>
            </w:r>
          </w:p>
        </w:tc>
        <w:tc>
          <w:tcPr>
            <w:tcW w:w="6115" w:type="dxa"/>
            <w:shd w:val="clear" w:fill="FAF9F6"/>
            <w:noWrap/>
          </w:tcPr>
          <w:p>
            <w:pPr>
              <w:jc w:val="end"/>
              <w:spacing w:after="0"/>
            </w:pPr>
            <w:r>
              <w:rPr>
                <w:color w:val="3B3A5E"/>
                <w:sz w:val="18"/>
                <w:szCs w:val="18"/>
                <w:b w:val="1"/>
                <w:bCs w:val="1"/>
              </w:rPr>
              <w:t xml:space="preserve">Citerne de récupération d’eau de pluie — École primaire Tujenge</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67 %</w:t>
            </w:r>
          </w:p>
        </w:tc>
      </w:tr>
    </w:tbl>
    <w:p>
      <w:pPr>
        <w:rPr>
          <w:sz w:val="8"/>
          <w:szCs w:val="8"/>
        </w:rPr>
      </w:pPr>
    </w:p>
    <w:p>
      <w:r>
        <w:br w:type="page"/>
      </w:r>
    </w:p>
    <w:p>
      <w:pPr/>
      <w:r>
        <w:rPr>
          <w:rStyle w:val="kicker"/>
        </w:rPr>
        <w:t xml:space="preserve">6</w:t>
      </w:r>
    </w:p>
    <w:p>
      <w:pPr>
        <w:pStyle w:val="Heading1"/>
      </w:pPr>
      <w:bookmarkStart w:id="19" w:name="_Toc19"/>
      <w:r>
        <w:t>Recommandations</w:t>
      </w:r>
      <w:bookmarkEnd w:id="19"/>
    </w:p>
    <w:p>
      <w:pPr>
        <w:pStyle w:val="Heading2"/>
      </w:pPr>
      <w:bookmarkStart w:id="20" w:name="_Toc20"/>
      <w:r>
        <w:t>Priorités issues des données</w:t>
      </w:r>
      <w:bookmarkEnd w:id="20"/>
    </w:p>
    <w:tbl>
      <w:tblGrid>
        <w:gridCol w:w="9864" w:type="dxa"/>
      </w:tblGrid>
      <w:tblPr>
        <w:tblW w:w="9864" w:type="dxa"/>
        <w:tblLayout w:type="autofit"/>
        <w:tblCellMar>
          <w:top w:w="140" w:type="dxa"/>
          <w:left w:w="140" w:type="dxa"/>
          <w:right w:w="140" w:type="dxa"/>
          <w:bottom w:w="140" w:type="dxa"/>
        </w:tblCellMar>
      </w:tblP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26 problèmes signalés</w:t>
            </w:r>
          </w:p>
          <w:p>
            <w:pPr>
              <w:spacing w:after="0"/>
            </w:pPr>
            <w:r>
              <w:rPr>
                <w:color w:val="3B3A5E"/>
                <w:sz w:val="22"/>
                <w:szCs w:val="22"/>
                <w:b w:val="1"/>
                <w:bCs w:val="1"/>
              </w:rPr>
              <w:t xml:space="preserve">Matériaux et devis</w:t>
            </w:r>
          </w:p>
          <w:p>
            <w:pPr>
              <w:spacing w:after="0"/>
            </w:pPr>
            <w:r>
              <w:rPr/>
              <w:t xml:space="preserve">Publier le devis quantitatif et contrôler la quantité et la qualité des matériaux livrés.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22 problèmes signalés</w:t>
            </w:r>
          </w:p>
          <w:p>
            <w:pPr>
              <w:spacing w:after="0"/>
            </w:pPr>
            <w:r>
              <w:rPr>
                <w:color w:val="3B3A5E"/>
                <w:sz w:val="22"/>
                <w:szCs w:val="22"/>
                <w:b w:val="1"/>
                <w:bCs w:val="1"/>
              </w:rPr>
              <w:t xml:space="preserve">Toilettes, eau et hygiène</w:t>
            </w:r>
          </w:p>
          <w:p>
            <w:pPr>
              <w:spacing w:after="0"/>
            </w:pPr>
            <w:r>
              <w:rPr/>
              <w:t xml:space="preserve">Installer des latrines séparées pour filles et garçons, un point d’eau et des dispositifs de lavage des mains dans chaque école signalée.</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22 problèmes signalés</w:t>
            </w:r>
          </w:p>
          <w:p>
            <w:pPr>
              <w:spacing w:after="0"/>
            </w:pPr>
            <w:r>
              <w:rPr>
                <w:color w:val="3B3A5E"/>
                <w:sz w:val="22"/>
                <w:szCs w:val="22"/>
                <w:b w:val="1"/>
                <w:bCs w:val="1"/>
              </w:rPr>
              <w:t xml:space="preserve">Sécurité du chantier</w:t>
            </w:r>
          </w:p>
          <w:p>
            <w:pPr>
              <w:spacing w:after="0"/>
            </w:pPr>
            <w:r>
              <w:rPr/>
              <w:t xml:space="preserve">Exiger des équipements de sécurité et des clôtures sur les chantiers situés à proximité des élèves.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93 problèmes sans réponse</w:t>
            </w:r>
          </w:p>
          <w:p>
            <w:pPr>
              <w:spacing w:after="0"/>
            </w:pPr>
            <w:r>
              <w:rPr>
                <w:color w:val="3B3A5E"/>
                <w:sz w:val="22"/>
                <w:szCs w:val="22"/>
                <w:b w:val="1"/>
                <w:bCs w:val="1"/>
              </w:rPr>
              <w:t xml:space="preserve">Répondre aux signalements</w:t>
            </w:r>
          </w:p>
          <w:p>
            <w:pPr>
              <w:spacing w:after="0"/>
            </w:pPr>
            <w:r>
              <w:rPr/>
              <w:t xml:space="preserve">Les chefs d’établissement devraient reconnaître chaque problème dans un délai de 14 jours et indiquer ce qui sera fait. Les directions provinciales de l’éducation peuvent assurer le suivi des écoles qui ne répondent pas.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Taux de correction : 33 %</w:t>
            </w:r>
          </w:p>
          <w:p>
            <w:pPr>
              <w:spacing w:after="0"/>
            </w:pPr>
            <w:r>
              <w:rPr>
                <w:color w:val="3B3A5E"/>
                <w:sz w:val="22"/>
                <w:szCs w:val="22"/>
                <w:b w:val="1"/>
                <w:bCs w:val="1"/>
              </w:rPr>
              <w:t xml:space="preserve">Accélérer les corrections</w:t>
            </w:r>
          </w:p>
          <w:p>
            <w:pPr>
              <w:spacing w:after="0"/>
            </w:pPr>
            <w:r>
              <w:rPr/>
              <w:t xml:space="preserve">Organiser chaque mois, dans chaque école, une revue des problèmes ouverts avec la direction, le comité des parents et le Club d’intégrité, et convenir d’un plan de réparation daté.</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Délai médian de correction : 71 jours</w:t>
            </w:r>
          </w:p>
          <w:p>
            <w:pPr>
              <w:spacing w:after="0"/>
            </w:pPr>
            <w:r>
              <w:rPr>
                <w:color w:val="3B3A5E"/>
                <w:sz w:val="22"/>
                <w:szCs w:val="22"/>
                <w:b w:val="1"/>
                <w:bCs w:val="1"/>
              </w:rPr>
              <w:t xml:space="preserve">Réduire les délais</w:t>
            </w:r>
          </w:p>
          <w:p>
            <w:pPr>
              <w:spacing w:after="0"/>
            </w:pPr>
            <w:r>
              <w:rPr/>
              <w:t xml:space="preserve">Les problèmes simples (nettoyage, petites réparations, horaires) peuvent être résolus en un mois avec le budget de fonctionnement de l’école ; les demandes de financement provincial doivent être réservées aux gros travaux.</w:t>
            </w:r>
          </w:p>
        </w:tc>
      </w:tr>
      <w:tr>
        <w:trPr>
          <w:trHeight w:val="80" w:hRule="atLeast"/>
        </w:trPr>
        <w:tc>
          <w:tcPr>
            <w:tcW w:w="9864" w:type="dxa"/>
            <w:noWrap/>
          </w:tcPr>
          <w:p/>
        </w:tc>
      </w:tr>
    </w:tbl>
    <w:p>
      <w:pPr>
        <w:pStyle w:val="Heading2"/>
      </w:pPr>
      <w:bookmarkStart w:id="21" w:name="_Toc21"/>
      <w:r>
        <w:t>Par acteur</w:t>
      </w:r>
      <w:bookmarkEnd w:id="21"/>
    </w:p>
    <w:p>
      <w:pPr>
        <w:spacing w:before="120" w:after="40"/>
      </w:pPr>
      <w:r>
        <w:rPr>
          <w:color w:val="3B3A5E"/>
          <w:sz w:val="22"/>
          <w:szCs w:val="22"/>
          <w:b w:val="1"/>
          <w:bCs w:val="1"/>
        </w:rPr>
        <w:t xml:space="preserve">Autorités éducatives (ministère de l’EPST, divisions provinciales)</w:t>
      </w:r>
    </w:p>
    <w:p>
      <w:pPr>
        <w:spacing w:after="40"/>
        <w:numPr>
          <w:ilvl w:val="0"/>
          <w:numId w:val="10"/>
        </w:numPr>
      </w:pPr>
      <w:r>
        <w:rPr/>
        <w:t xml:space="preserve">Utiliser les données d’EduCheck pour cibler les inspections et planifier les budgets de réhabilitation.</w:t>
      </w:r>
    </w:p>
    <w:p>
      <w:pPr>
        <w:spacing w:after="40"/>
        <w:numPr>
          <w:ilvl w:val="0"/>
          <w:numId w:val="10"/>
        </w:numPr>
      </w:pPr>
      <w:r>
        <w:rPr/>
        <w:t xml:space="preserve">Publier les frais scolaires officiels et les budgets alloués à chaque école.</w:t>
      </w:r>
    </w:p>
    <w:p>
      <w:pPr>
        <w:spacing w:after="40"/>
        <w:numPr>
          <w:ilvl w:val="0"/>
          <w:numId w:val="10"/>
        </w:numPr>
      </w:pPr>
      <w:r>
        <w:rPr/>
        <w:t xml:space="preserve">Fixer un délai maximal de réponse des écoles aux signalements citoyens.</w:t>
      </w:r>
    </w:p>
    <w:p>
      <w:pPr>
        <w:spacing w:before="120" w:after="40"/>
      </w:pPr>
      <w:r>
        <w:rPr>
          <w:color w:val="3B3A5E"/>
          <w:sz w:val="22"/>
          <w:szCs w:val="22"/>
          <w:b w:val="1"/>
          <w:bCs w:val="1"/>
        </w:rPr>
        <w:t xml:space="preserve">Chefs d’établissement et comités de gestion (COGES)</w:t>
      </w:r>
    </w:p>
    <w:p>
      <w:pPr>
        <w:spacing w:after="40"/>
        <w:numPr>
          <w:ilvl w:val="0"/>
          <w:numId w:val="10"/>
        </w:numPr>
      </w:pPr>
      <w:r>
        <w:rPr/>
        <w:t xml:space="preserve">Reconnaître chaque problème, expliquer le plan d’action et l’afficher sur le tableau d’affichage.</w:t>
      </w:r>
    </w:p>
    <w:p>
      <w:pPr>
        <w:spacing w:after="40"/>
        <w:numPr>
          <w:ilvl w:val="0"/>
          <w:numId w:val="10"/>
        </w:numPr>
      </w:pPr>
      <w:r>
        <w:rPr/>
        <w:t xml:space="preserve">Associer le Club d’intégrité et les parents au suivi des réparations.</w:t>
      </w:r>
    </w:p>
    <w:p>
      <w:pPr>
        <w:spacing w:after="40"/>
        <w:numPr>
          <w:ilvl w:val="0"/>
          <w:numId w:val="10"/>
        </w:numPr>
      </w:pPr>
      <w:r>
        <w:rPr/>
        <w:t xml:space="preserve">Signaler les corrections avec une photo afin que les moniteurs puissent les vérifier rapidement.</w:t>
      </w:r>
    </w:p>
    <w:p>
      <w:pPr>
        <w:spacing w:before="120" w:after="40"/>
      </w:pPr>
      <w:r>
        <w:rPr>
          <w:color w:val="3B3A5E"/>
          <w:sz w:val="22"/>
          <w:szCs w:val="22"/>
          <w:b w:val="1"/>
          <w:bCs w:val="1"/>
        </w:rPr>
        <w:t xml:space="preserve">Partenaires techniques et financiers</w:t>
      </w:r>
    </w:p>
    <w:p>
      <w:pPr>
        <w:spacing w:after="40"/>
        <w:numPr>
          <w:ilvl w:val="0"/>
          <w:numId w:val="10"/>
        </w:numPr>
      </w:pPr>
      <w:r>
        <w:rPr/>
        <w:t xml:space="preserve">Faire du suivi citoyen une condition du financement des infrastructures scolaires.</w:t>
      </w:r>
    </w:p>
    <w:p>
      <w:pPr>
        <w:spacing w:after="40"/>
        <w:numPr>
          <w:ilvl w:val="0"/>
          <w:numId w:val="10"/>
        </w:numPr>
      </w:pPr>
      <w:r>
        <w:rPr/>
        <w:t xml:space="preserve">Publier les devis quantitatifs et les calendriers des travaux afin qu’ils puissent être contrôlés.</w:t>
      </w:r>
    </w:p>
    <w:p>
      <w:pPr>
        <w:spacing w:after="40"/>
        <w:numPr>
          <w:ilvl w:val="0"/>
          <w:numId w:val="10"/>
        </w:numPr>
      </w:pPr>
      <w:r>
        <w:rPr/>
        <w:t xml:space="preserve">Soutenir l’extension des Clubs d’intégrité à de nouvelles écoles et provinces.</w:t>
      </w:r>
    </w:p>
    <w:p>
      <w:pPr>
        <w:spacing w:before="120" w:after="40"/>
      </w:pPr>
      <w:r>
        <w:rPr>
          <w:color w:val="3B3A5E"/>
          <w:sz w:val="22"/>
          <w:szCs w:val="22"/>
          <w:b w:val="1"/>
          <w:bCs w:val="1"/>
        </w:rPr>
        <w:t xml:space="preserve">Le CERC et les Clubs d’intégrité</w:t>
      </w:r>
    </w:p>
    <w:p>
      <w:pPr>
        <w:spacing w:after="40"/>
        <w:numPr>
          <w:ilvl w:val="0"/>
          <w:numId w:val="10"/>
        </w:numPr>
      </w:pPr>
      <w:r>
        <w:rPr/>
        <w:t xml:space="preserve">Maintenir un rythme de visites régulier et vérifier chaque correction déclarée.</w:t>
      </w:r>
    </w:p>
    <w:p>
      <w:pPr>
        <w:spacing w:after="40"/>
        <w:numPr>
          <w:ilvl w:val="0"/>
          <w:numId w:val="10"/>
        </w:numPr>
      </w:pPr>
      <w:r>
        <w:rPr/>
        <w:t xml:space="preserve">Partager ce rapport avec les chefs d’établissement, les parents et les autorités locales.</w:t>
      </w:r>
    </w:p>
    <w:p>
      <w:pPr>
        <w:spacing w:after="40"/>
        <w:numPr>
          <w:ilvl w:val="0"/>
          <w:numId w:val="10"/>
        </w:numPr>
      </w:pPr>
      <w:r>
        <w:rPr/>
        <w:t xml:space="preserve">Mettre en avant les réussites autant que les problèmes pour favoriser le dialogue.</w:t>
      </w:r>
    </w:p>
    <w:p>
      <w:r>
        <w:br w:type="page"/>
      </w:r>
    </w:p>
    <w:p>
      <w:pPr/>
      <w:r>
        <w:rPr>
          <w:rStyle w:val="kicker"/>
        </w:rPr>
        <w:t xml:space="preserve">7</w:t>
      </w:r>
    </w:p>
    <w:p>
      <w:pPr>
        <w:pStyle w:val="Heading1"/>
      </w:pPr>
      <w:bookmarkStart w:id="22" w:name="_Toc22"/>
      <w:r>
        <w:t>Méthodologie et limites</w:t>
      </w:r>
      <w:bookmarkEnd w:id="22"/>
    </w:p>
    <w:p>
      <w:pPr/>
      <w:r>
        <w:rPr/>
        <w:t xml:space="preserve">Les données proviennent des visites de suivi effectuées par des membres formés des Clubs d’intégrité, toujours en binôme, à l’aide d’un questionnaire commun pour les écoles et d’un autre pour les chantiers.</w:t>
      </w:r>
    </w:p>
    <w:p>
      <w:pPr/>
      <w:r>
        <w:rPr/>
        <w:t xml:space="preserve">Une réponse révélant un problème crée une fiche de problème publique, transmise à l’école. Une correction n’est considérée comme « vérifiée » qu’après confirmation sur place par un second moniteur.</w:t>
      </w:r>
    </w:p>
    <w:p>
      <w:pPr/>
      <w:r>
        <w:rPr/>
        <w:t xml:space="preserve">Le taux de correction est la part des problèmes corrigés ou vérifiés parmi l’ensemble des problèmes signalés (hors problèmes rejetés). Le délai médian de correction est mesuré entre le signalement et la première correction.</w:t>
      </w:r>
    </w:p>
    <w:p>
      <w:pPr/>
      <w:r>
        <w:rPr/>
        <w:t xml:space="preserve">Limites : les écoles suivies sont celles qui disposent d’un Club d’intégrité, et non un échantillon statistique de l’ensemble des écoles ; les résultats ne décrivent que ces écoles.</w:t>
      </w:r>
    </w:p>
    <w:p>
      <w:pPr/>
      <w:r>
        <w:rPr/>
        <w:t xml:space="preserve">Données personnelles : les noms des moniteurs, leurs notes et les photos de personnes ne sont jamais publiés. Les fichiers de données ouvertes sont anonymisés.</w:t>
      </w:r>
    </w:p>
    <w:p>
      <w:pPr>
        <w:pStyle w:val="Heading2"/>
      </w:pPr>
      <w:bookmarkStart w:id="23" w:name="_Toc23"/>
      <w:r>
        <w:t>Définitions</w:t>
      </w:r>
      <w:bookmarkEnd w:id="23"/>
    </w:p>
    <w:tbl>
      <w:tblGrid>
        <w:gridCol w:w="2959" w:type="dxa"/>
        <w:gridCol w:w="6904"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c>
          <w:tcPr>
            <w:tcW w:w="2959" w:type="dxa"/>
            <w:noWrap/>
          </w:tcPr>
          <w:p>
            <w:pPr>
              <w:jc w:val="start"/>
              <w:spacing w:after="0"/>
            </w:pPr>
            <w:r>
              <w:rPr>
                <w:sz w:val="18"/>
                <w:szCs w:val="18"/>
              </w:rPr>
              <w:t xml:space="preserve">Club d’intégrité</w:t>
            </w:r>
          </w:p>
        </w:tc>
        <w:tc>
          <w:tcPr>
            <w:tcW w:w="6904" w:type="dxa"/>
            <w:noWrap/>
          </w:tcPr>
          <w:p>
            <w:pPr>
              <w:jc w:val="start"/>
              <w:spacing w:after="0"/>
            </w:pPr>
            <w:r>
              <w:rPr>
                <w:sz w:val="18"/>
                <w:szCs w:val="18"/>
              </w:rPr>
              <w:t xml:space="preserve">Groupe d’élèves, de parents et d’enseignants formés par le CERC pour assurer le suivi de leur école.</w:t>
            </w:r>
          </w:p>
        </w:tc>
      </w:tr>
      <w:tr>
        <w:trPr/>
        <w:tc>
          <w:tcPr>
            <w:tcW w:w="2959" w:type="dxa"/>
            <w:shd w:val="clear" w:fill="FAF9F6"/>
            <w:noWrap/>
          </w:tcPr>
          <w:p>
            <w:pPr>
              <w:jc w:val="start"/>
              <w:spacing w:after="0"/>
            </w:pPr>
            <w:r>
              <w:rPr>
                <w:sz w:val="18"/>
                <w:szCs w:val="18"/>
              </w:rPr>
              <w:t xml:space="preserve">Moniteur</w:t>
            </w:r>
          </w:p>
        </w:tc>
        <w:tc>
          <w:tcPr>
            <w:tcW w:w="6904" w:type="dxa"/>
            <w:shd w:val="clear" w:fill="FAF9F6"/>
            <w:noWrap/>
          </w:tcPr>
          <w:p>
            <w:pPr>
              <w:jc w:val="start"/>
              <w:spacing w:after="0"/>
            </w:pPr>
            <w:r>
              <w:rPr>
                <w:sz w:val="18"/>
                <w:szCs w:val="18"/>
              </w:rPr>
              <w:t xml:space="preserve">Membre d’un Club d’intégrité qui effectue les visites.</w:t>
            </w:r>
          </w:p>
        </w:tc>
      </w:tr>
      <w:tr>
        <w:trPr/>
        <w:tc>
          <w:tcPr>
            <w:tcW w:w="2959" w:type="dxa"/>
            <w:noWrap/>
          </w:tcPr>
          <w:p>
            <w:pPr>
              <w:jc w:val="start"/>
              <w:spacing w:after="0"/>
            </w:pPr>
            <w:r>
              <w:rPr>
                <w:sz w:val="18"/>
                <w:szCs w:val="18"/>
              </w:rPr>
              <w:t xml:space="preserve">Problème signalé</w:t>
            </w:r>
          </w:p>
        </w:tc>
        <w:tc>
          <w:tcPr>
            <w:tcW w:w="6904" w:type="dxa"/>
            <w:noWrap/>
          </w:tcPr>
          <w:p>
            <w:pPr>
              <w:jc w:val="start"/>
              <w:spacing w:after="0"/>
            </w:pPr>
            <w:r>
              <w:rPr>
                <w:sz w:val="18"/>
                <w:szCs w:val="18"/>
              </w:rPr>
              <w:t xml:space="preserve">Manquement constaté lors d’une visite, en attente d’une réponse de l’école.</w:t>
            </w:r>
          </w:p>
        </w:tc>
      </w:tr>
      <w:tr>
        <w:trPr/>
        <w:tc>
          <w:tcPr>
            <w:tcW w:w="2959" w:type="dxa"/>
            <w:shd w:val="clear" w:fill="FAF9F6"/>
            <w:noWrap/>
          </w:tcPr>
          <w:p>
            <w:pPr>
              <w:jc w:val="start"/>
              <w:spacing w:after="0"/>
            </w:pPr>
            <w:r>
              <w:rPr>
                <w:sz w:val="18"/>
                <w:szCs w:val="18"/>
              </w:rPr>
              <w:t xml:space="preserve">Reconnu</w:t>
            </w:r>
          </w:p>
        </w:tc>
        <w:tc>
          <w:tcPr>
            <w:tcW w:w="6904" w:type="dxa"/>
            <w:shd w:val="clear" w:fill="FAF9F6"/>
            <w:noWrap/>
          </w:tcPr>
          <w:p>
            <w:pPr>
              <w:jc w:val="start"/>
              <w:spacing w:after="0"/>
            </w:pPr>
            <w:r>
              <w:rPr>
                <w:sz w:val="18"/>
                <w:szCs w:val="18"/>
              </w:rPr>
              <w:t xml:space="preserve">L’école a reconnu le problème et indiqué ce qu’elle allait faire.</w:t>
            </w:r>
          </w:p>
        </w:tc>
      </w:tr>
      <w:tr>
        <w:trPr/>
        <w:tc>
          <w:tcPr>
            <w:tcW w:w="2959" w:type="dxa"/>
            <w:noWrap/>
          </w:tcPr>
          <w:p>
            <w:pPr>
              <w:jc w:val="start"/>
              <w:spacing w:after="0"/>
            </w:pPr>
            <w:r>
              <w:rPr>
                <w:sz w:val="18"/>
                <w:szCs w:val="18"/>
              </w:rPr>
              <w:t xml:space="preserve">Corrigé / vérifié</w:t>
            </w:r>
          </w:p>
        </w:tc>
        <w:tc>
          <w:tcPr>
            <w:tcW w:w="6904" w:type="dxa"/>
            <w:noWrap/>
          </w:tcPr>
          <w:p>
            <w:pPr>
              <w:jc w:val="start"/>
              <w:spacing w:after="0"/>
            </w:pPr>
            <w:r>
              <w:rPr>
                <w:sz w:val="18"/>
                <w:szCs w:val="18"/>
              </w:rPr>
              <w:t xml:space="preserve">Le problème a été résolu ; « vérifié » signifie qu’un second moniteur l’a confirmé sur place.</w:t>
            </w:r>
          </w:p>
        </w:tc>
      </w:tr>
    </w:tbl>
    <w:p>
      <w:pPr>
        <w:rPr>
          <w:sz w:val="8"/>
          <w:szCs w:val="8"/>
        </w:rPr>
      </w:pPr>
    </w:p>
    <w:p>
      <w:pPr>
        <w:pStyle w:val="Heading2"/>
      </w:pPr>
      <w:bookmarkStart w:id="24" w:name="_Toc24"/>
      <w:r>
        <w:t>Contact</w:t>
      </w:r>
      <w:bookmarkEnd w:id="24"/>
    </w:p>
    <w:p>
      <w:pPr/>
      <w:r>
        <w:rPr/>
        <w:t xml:space="preserve">Centre de Recherche sur l’Anti-Corruption (CERC) · Kinshasa · Bukavu · info@cerc.cd</w:t>
      </w:r>
    </w:p>
    <w:p>
      <w:pPr/>
      <w:r>
        <w:rPr/>
        <w:t xml:space="preserve">Données ouvertes : tous les chiffres de ce rapport peuvent être téléchargés depuis le tableau de bord EduCheck.</w:t>
      </w:r>
    </w:p>
    <w:p>
      <w:hyperlink r:id="rId9" w:history="1">
        <w:r>
          <w:rPr>
            <w:color w:val="E85B15"/>
            <w:sz w:val="17"/>
            <w:szCs w:val="17"/>
            <w:u w:val="single"/>
          </w:rPr>
          <w:t xml:space="preserve">https://educheck.cd/index.php/tableau-de-bord</w:t>
        </w:r>
      </w:hyperlink>
    </w:p>
    <w:p>
      <w:pPr/>
      <w:r>
        <w:rPr>
          <w:rStyle w:val="muted"/>
        </w:rPr>
        <w:t xml:space="preserve">Source : EduCheck, données du suivi citoyen · Généré le 17 octobre 2026</w:t>
      </w:r>
    </w:p>
    <w:sectPr>
      <w:headerReference w:type="default" r:id="rId10"/>
      <w:footerReference w:type="default" r:id="rId11"/>
      <w:type w:val="nextPage"/>
      <w:pgSz w:orient="portrait" w:w="11905.511811023622" w:h="16837.79527559055"/>
      <w:pgMar w:top="1360.6299212598426" w:right="1020.4724409448818" w:bottom="1133.8582677165352" w:left="1020.472440944881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color w:val="868686"/>
        <w:sz w:val="16"/>
        <w:szCs w:val="16"/>
      </w:rPr>
      <w:t xml:space="preserve">Centre de Recherche sur l’Anti-Corruption (CERC) · educheck.cd    Page </w:t>
    </w:r>
    <w:r>
      <w:fldChar w:fldCharType="begin"/>
    </w:r>
    <w:r>
      <w:rPr>
        <w:color w:val="868686"/>
        <w:sz w:val="16"/>
        <w:szCs w:val="16"/>
      </w:rPr>
      <w:instrText xml:space="preserve">PAGE</w:instrText>
    </w:r>
    <w:r>
      <w:fldChar w:fldCharType="separate"/>
    </w:r>
    <w:r>
      <w:fldChar w:fldCharType="end"/>
    </w:r>
    <w:r>
      <w:rPr>
        <w:color w:val="868686"/>
        <w:sz w:val="16"/>
        <w:szCs w:val="16"/>
      </w:rPr>
      <w:t xml:space="preserve"> / </w:t>
    </w:r>
    <w:r>
      <w:fldChar w:fldCharType="begin"/>
    </w:r>
    <w:r>
      <w:rPr>
        <w:color w:val="868686"/>
        <w:sz w:val="16"/>
        <w:szCs w:val="16"/>
      </w:rPr>
      <w:instrText xml:space="preserve">NUMPAGES</w:instrText>
    </w:r>
    <w:r>
      <w:fldChar w:fldCharType="separate"/>
    </w:r>
    <w:r>
      <w:fldChar w:fldCharType="end"/>
    </w:r>
  </w:p>
</w:ft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single" w:sz="4" w:color="E3E3E7"/>
      </w:pBdr>
    </w:pPr>
    <w:r>
      <w:rPr>
        <w:color w:val="3B3A5E"/>
        <w:sz w:val="18"/>
        <w:szCs w:val="18"/>
        <w:b w:val="1"/>
        <w:bCs w:val="1"/>
      </w:rPr>
      <w:t xml:space="preserve">Edu</w:t>
    </w:r>
    <w:r>
      <w:rPr>
        <w:color w:val="ECA327"/>
        <w:sz w:val="18"/>
        <w:szCs w:val="18"/>
        <w:b w:val="1"/>
        <w:bCs w:val="1"/>
      </w:rPr>
      <w:t xml:space="preserve">Check</w:t>
    </w:r>
    <w:r>
      <w:rPr>
        <w:color w:val="868686"/>
        <w:sz w:val="16"/>
        <w:szCs w:val="16"/>
      </w:rPr>
      <w:t xml:space="preserve">   Rapport de suivi EduCheck · Écoles et projets d’infrastructure scolaire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C5AF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CA7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fr-FR"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Barlow" w:hAnsi="Barlow" w:eastAsia="Arial" w:cs="Barlow"/>
        <w:color w:val="000000"/>
        <w:sz w:val="20"/>
        <w:szCs w:val="20"/>
        <w:lang w:val="fr-FR"/>
      </w:rPr>
    </w:rPrDefault>
  </w:docDefaults>
  <w:style w:type="paragraph" w:default="1" w:styleId="Normal">
    <w:name w:val="Normal"/>
    <w:pPr>
      <w:spacing w:after="120" w:line="288"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0" w:after="200"/>
      <w:pBdr>
        <w:bottom w:val="single" w:sz="12" w:color="ECA327"/>
      </w:pBdr>
    </w:pPr>
    <w:rPr>
      <w:rFonts w:ascii="Barlow" w:hAnsi="Barlow" w:eastAsia="Barlow" w:cs="Barlow"/>
      <w:color w:val="3B3A5E"/>
      <w:sz w:val="40"/>
      <w:szCs w:val="40"/>
      <w:b w:val="1"/>
      <w:bCs w:val="1"/>
    </w:rPr>
  </w:style>
  <w:style w:type="paragraph" w:styleId="Heading2">
    <w:link w:val="Heading2Char"/>
    <w:name w:val="heading 2"/>
    <w:basedOn w:val="Normal"/>
    <w:pPr>
      <w:spacing w:before="240" w:after="120"/>
    </w:pPr>
    <w:rPr>
      <w:rFonts w:ascii="Barlow" w:hAnsi="Barlow" w:eastAsia="Barlow" w:cs="Barlow"/>
      <w:color w:val="3B3A5E"/>
      <w:sz w:val="26"/>
      <w:szCs w:val="26"/>
      <w:b w:val="1"/>
      <w:bCs w:val="1"/>
    </w:rPr>
  </w:style>
  <w:style w:type="character">
    <w:name w:val="kicker"/>
    <w:rPr>
      <w:color w:val="E85B15"/>
      <w:sz w:val="17"/>
      <w:szCs w:val="17"/>
      <w:b w:val="1"/>
      <w:bCs w:val="1"/>
      <w:smallCaps w:val="0"/>
      <w:caps w:val="1"/>
      <w:spacing w:val="15"/>
    </w:rPr>
  </w:style>
  <w:style w:type="character">
    <w:name w:val="lead"/>
    <w:rPr>
      <w:color w:val="3B3A5E"/>
      <w:sz w:val="23"/>
      <w:szCs w:val="23"/>
    </w:rPr>
  </w:style>
  <w:style w:type="character">
    <w:name w:val="muted"/>
    <w:rPr>
      <w:color w:val="868686"/>
      <w:sz w:val="17"/>
      <w:szCs w:val="17"/>
    </w:rPr>
  </w:style>
  <w:style w:type="character">
    <w:name w:val="strong"/>
    <w:rPr>
      <w:color w:val="3B3A5E"/>
      <w:b w:val="1"/>
      <w:bCs w:val="1"/>
    </w:rPr>
  </w:style>
  <w:style w:type="table" w:customStyle="1" w:styleId="data">
    <w:name w:val="data"/>
    <w:uiPriority w:val="99"/>
    <w:tblPr>
      <w:tblW w:w="0" w:type="auto"/>
      <w:tblLayout w:type="autofit"/>
      <w:tblCellMar>
        <w:top w:w="80" w:type="dxa"/>
        <w:left w:w="80" w:type="dxa"/>
        <w:right w:w="80" w:type="dxa"/>
        <w:bottom w:w="80" w:type="dxa"/>
      </w:tblCellMar>
      <w:tblBorders>
        <w:bottom w:val="single" w:sz="4" w:color="E3E3E7"/>
        <w:insideH w:val="single" w:sz="4" w:color="E3E3E7"/>
      </w:tblBorders>
    </w:tblPr>
    <w:tblStylePr w:type="firstRow">
      <w:tcPr>
        <w:tcPr>
          <w:shd w:val="clear" w:fill="3B3A5E"/>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educheck.cd/index.php/tableau-de-bord" TargetMode="Externa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legend>
      <c:legendPos val="r"/>
    </c:legend>
    <c:plotArea>
      <c:layout/>
      <c:doughnutChart>
        <c:varyColors val="1"/>
        <c:holeSize val="75"/>
        <c:ser>
          <c:idx val="0"/>
          <c:order val="0"/>
          <c:dLbls>
            <c:showVal val="1"/>
            <c:showCatName val="0"/>
            <c:showLegendKey val="0"/>
            <c:showSerName val="0"/>
            <c:showPercent val="0"/>
            <c:showLeaderLines val="0"/>
            <c:showBubbleSize val="0"/>
          </c:dLbls>
          <c:cat>
            <c:strLit>
              <c:ptCount val="5"/>
              <c:pt idx="0">
                <c:v>Signalé, en attente de réponse</c:v>
              </c:pt>
              <c:pt idx="1">
                <c:v>Reconnu par l’école</c:v>
              </c:pt>
              <c:pt idx="2">
                <c:v>Corrigé, à vérifier</c:v>
              </c:pt>
              <c:pt idx="3">
                <c:v>Corrigé et vérifié</c:v>
              </c:pt>
              <c:pt idx="4">
                <c:v>Rouvert</c:v>
              </c:pt>
            </c:strLit>
          </c:cat>
          <c:val>
            <c:numLit>
              <c:ptCount val="5"/>
              <c:pt idx="0">
                <c:v>98</c:v>
              </c:pt>
              <c:pt idx="1">
                <c:v>53</c:v>
              </c:pt>
              <c:pt idx="2">
                <c:v>38</c:v>
              </c:pt>
              <c:pt idx="3">
                <c:v>40</c:v>
              </c:pt>
              <c:pt idx="4">
                <c:v>7</c:v>
              </c:pt>
            </c:numLit>
          </c:val>
          <c:dPt>
            <c:idx val="0"/>
            <c:spPr>
              <a:solidFill>
                <a:srgbClr val="ee7b42"/>
              </a:solidFill>
            </c:spPr>
          </c:dPt>
          <c:dPt>
            <c:idx val="1"/>
            <c:spPr>
              <a:solidFill>
                <a:srgbClr val="4faac6"/>
              </a:solidFill>
            </c:spPr>
          </c:dPt>
          <c:dPt>
            <c:idx val="2"/>
            <c:spPr>
              <a:solidFill>
                <a:srgbClr val="5ab78d"/>
              </a:solidFill>
            </c:spPr>
          </c:dPt>
          <c:dPt>
            <c:idx val="3"/>
            <c:spPr>
              <a:solidFill>
                <a:srgbClr val="439b73"/>
              </a:solidFill>
            </c:spPr>
          </c:dPt>
          <c:dPt>
            <c:idx val="4"/>
            <c:spPr>
              <a:solidFill>
                <a:srgbClr val="c671ba"/>
              </a:solidFill>
            </c:spPr>
          </c:dPt>
        </c:ser>
        <c:overlap val="100"/>
      </c:doughnutChart>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legend>
      <c:legendPos val="b"/>
    </c:legend>
    <c:plotArea>
      <c:layout/>
      <c:barChart>
        <c:varyColors val="0"/>
        <c:barDir val="col"/>
        <c:grouping val="clustered"/>
        <c:ser>
          <c:idx val="0"/>
          <c:order val="0"/>
          <c:tx>
            <c:strRef>
              <c:strCache>
                <c:ptCount val="1"/>
                <c:pt idx="0">
                  <c:v>Signalés</c:v>
                </c:pt>
              </c:strCache>
            </c:strRef>
          </c:tx>
          <c:dLbls>
            <c:showVal val="0"/>
            <c:showCatName val="0"/>
            <c:showLegendKey val="0"/>
            <c:showSerName val="0"/>
            <c:showPercent val="0"/>
            <c:showLeaderLines val="0"/>
            <c:showBubbleSize val="0"/>
          </c:dLbls>
          <c:cat>
            <c:strLit>
              <c:ptCount val="12"/>
              <c:pt idx="0">
                <c:v>Nov 25</c:v>
              </c:pt>
              <c:pt idx="1">
                <c:v>Déc 25</c:v>
              </c:pt>
              <c:pt idx="2">
                <c:v>Jan 26</c:v>
              </c:pt>
              <c:pt idx="3">
                <c:v>Fév 26</c:v>
              </c:pt>
              <c:pt idx="4">
                <c:v>Mar 26</c:v>
              </c:pt>
              <c:pt idx="5">
                <c:v>Avr 26</c:v>
              </c:pt>
              <c:pt idx="6">
                <c:v>Mai 26</c:v>
              </c:pt>
              <c:pt idx="7">
                <c:v>Jun 26</c:v>
              </c:pt>
              <c:pt idx="8">
                <c:v>Jul 26</c:v>
              </c:pt>
              <c:pt idx="9">
                <c:v>Aoû 26</c:v>
              </c:pt>
              <c:pt idx="10">
                <c:v>Sep 26</c:v>
              </c:pt>
              <c:pt idx="11">
                <c:v>Oct 26</c:v>
              </c:pt>
            </c:strLit>
          </c:cat>
          <c:val>
            <c:numLit>
              <c:ptCount val="12"/>
              <c:pt idx="0">
                <c:v>44</c:v>
              </c:pt>
              <c:pt idx="1">
                <c:v>50</c:v>
              </c:pt>
              <c:pt idx="2">
                <c:v>62</c:v>
              </c:pt>
              <c:pt idx="3">
                <c:v>40</c:v>
              </c:pt>
              <c:pt idx="4">
                <c:v>13</c:v>
              </c:pt>
              <c:pt idx="5">
                <c:v>7</c:v>
              </c:pt>
              <c:pt idx="6">
                <c:v>12</c:v>
              </c:pt>
              <c:pt idx="7">
                <c:v>0</c:v>
              </c:pt>
              <c:pt idx="8">
                <c:v>1</c:v>
              </c:pt>
              <c:pt idx="9">
                <c:v>1</c:v>
              </c:pt>
              <c:pt idx="10">
                <c:v>0</c:v>
              </c:pt>
              <c:pt idx="11">
                <c:v>6</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ser>
          <c:idx val="1"/>
          <c:order val="1"/>
          <c:tx>
            <c:strRef>
              <c:strCache>
                <c:ptCount val="1"/>
                <c:pt idx="0">
                  <c:v>Corrigés</c:v>
                </c:pt>
              </c:strCache>
            </c:strRef>
          </c:tx>
          <c:dLbls>
            <c:showVal val="0"/>
            <c:showCatName val="0"/>
            <c:showLegendKey val="0"/>
            <c:showSerName val="0"/>
            <c:showPercent val="0"/>
            <c:showLeaderLines val="0"/>
            <c:showBubbleSize val="0"/>
          </c:dLbls>
          <c:cat>
            <c:strLit>
              <c:ptCount val="12"/>
              <c:pt idx="0">
                <c:v>Nov 25</c:v>
              </c:pt>
              <c:pt idx="1">
                <c:v>Déc 25</c:v>
              </c:pt>
              <c:pt idx="2">
                <c:v>Jan 26</c:v>
              </c:pt>
              <c:pt idx="3">
                <c:v>Fév 26</c:v>
              </c:pt>
              <c:pt idx="4">
                <c:v>Mar 26</c:v>
              </c:pt>
              <c:pt idx="5">
                <c:v>Avr 26</c:v>
              </c:pt>
              <c:pt idx="6">
                <c:v>Mai 26</c:v>
              </c:pt>
              <c:pt idx="7">
                <c:v>Jun 26</c:v>
              </c:pt>
              <c:pt idx="8">
                <c:v>Jul 26</c:v>
              </c:pt>
              <c:pt idx="9">
                <c:v>Aoû 26</c:v>
              </c:pt>
              <c:pt idx="10">
                <c:v>Sep 26</c:v>
              </c:pt>
              <c:pt idx="11">
                <c:v>Oct 26</c:v>
              </c:pt>
            </c:strLit>
          </c:cat>
          <c:val>
            <c:numLit>
              <c:ptCount val="12"/>
              <c:pt idx="0">
                <c:v>0</c:v>
              </c:pt>
              <c:pt idx="1">
                <c:v>0</c:v>
              </c:pt>
              <c:pt idx="2">
                <c:v>8</c:v>
              </c:pt>
              <c:pt idx="3">
                <c:v>21</c:v>
              </c:pt>
              <c:pt idx="4">
                <c:v>23</c:v>
              </c:pt>
              <c:pt idx="5">
                <c:v>16</c:v>
              </c:pt>
              <c:pt idx="6">
                <c:v>11</c:v>
              </c:pt>
              <c:pt idx="7">
                <c:v>0</c:v>
              </c:pt>
              <c:pt idx="8">
                <c:v>5</c:v>
              </c:pt>
              <c:pt idx="9">
                <c:v>0</c:v>
              </c:pt>
              <c:pt idx="10">
                <c:v>0</c:v>
              </c:pt>
              <c:pt idx="11">
                <c:v>1</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tx>
            <c:strRef>
              <c:strCache>
                <c:ptCount val="1"/>
                <c:pt idx="0">
                  <c:v>Problèmes</c:v>
                </c:pt>
              </c:strCache>
            </c:strRef>
          </c:tx>
          <c:dLbls>
            <c:showVal val="1"/>
            <c:showCatName val="0"/>
            <c:showLegendKey val="0"/>
            <c:showSerName val="0"/>
            <c:showPercent val="0"/>
            <c:showLeaderLines val="0"/>
            <c:showBubbleSize val="0"/>
          </c:dLbls>
          <c:cat>
            <c:strLit>
              <c:ptCount val="12"/>
              <c:pt idx="0">
                <c:v>Horaires et tenue des cours</c:v>
              </c:pt>
              <c:pt idx="1">
                <c:v>Sécurité</c:v>
              </c:pt>
              <c:pt idx="2">
                <c:v>Main-d'œuvre et paiement</c:v>
              </c:pt>
              <c:pt idx="3">
                <c:v>Matériel pédagogique et bibliothèque</c:v>
              </c:pt>
              <c:pt idx="4">
                <c:v>Bâtiments et salles</c:v>
              </c:pt>
              <c:pt idx="5">
                <c:v>Accessibilité (handicap)</c:v>
              </c:pt>
              <c:pt idx="6">
                <c:v>Gouvernance (comité, information publique)</c:v>
              </c:pt>
              <c:pt idx="7">
                <c:v>Intégrité, frais illégaux, corruption</c:v>
              </c:pt>
              <c:pt idx="8">
                <c:v>Qualité des travaux</c:v>
              </c:pt>
              <c:pt idx="9">
                <c:v>Sécurité du chantier</c:v>
              </c:pt>
              <c:pt idx="10">
                <c:v>Toilettes, eau et hygiène</c:v>
              </c:pt>
              <c:pt idx="11">
                <c:v>Matériaux et devis</c:v>
              </c:pt>
            </c:strLit>
          </c:cat>
          <c:val>
            <c:numLit>
              <c:ptCount val="12"/>
              <c:pt idx="0">
                <c:v>10</c:v>
              </c:pt>
              <c:pt idx="1">
                <c:v>10</c:v>
              </c:pt>
              <c:pt idx="2">
                <c:v>12</c:v>
              </c:pt>
              <c:pt idx="3">
                <c:v>15</c:v>
              </c:pt>
              <c:pt idx="4">
                <c:v>15</c:v>
              </c:pt>
              <c:pt idx="5">
                <c:v>16</c:v>
              </c:pt>
              <c:pt idx="6">
                <c:v>17</c:v>
              </c:pt>
              <c:pt idx="7">
                <c:v>18</c:v>
              </c:pt>
              <c:pt idx="8">
                <c:v>20</c:v>
              </c:pt>
              <c:pt idx="9">
                <c:v>22</c:v>
              </c:pt>
              <c:pt idx="10">
                <c:v>22</c:v>
              </c:pt>
              <c:pt idx="11">
                <c:v>26</c:v>
              </c:pt>
            </c:numLit>
          </c:val>
          <c:dPt>
            <c:idx val="0"/>
            <c:spPr>
              <a:solidFill>
                <a:srgbClr val="EE7B42"/>
              </a:solidFill>
            </c:spPr>
          </c:dPt>
          <c:dPt>
            <c:idx val="1"/>
            <c:spPr>
              <a:solidFill>
                <a:srgbClr val="EE7B42"/>
              </a:solidFill>
            </c:spPr>
          </c:dPt>
          <c:dPt>
            <c:idx val="2"/>
            <c:spPr>
              <a:solidFill>
                <a:srgbClr val="EE7B42"/>
              </a:solidFill>
            </c:spPr>
          </c:dPt>
          <c:dPt>
            <c:idx val="3"/>
            <c:spPr>
              <a:solidFill>
                <a:srgbClr val="EE7B42"/>
              </a:solidFill>
            </c:spPr>
          </c:dPt>
          <c:dPt>
            <c:idx val="4"/>
            <c:spPr>
              <a:solidFill>
                <a:srgbClr val="EE7B42"/>
              </a:solidFill>
            </c:spPr>
          </c:dPt>
          <c:dPt>
            <c:idx val="5"/>
            <c:spPr>
              <a:solidFill>
                <a:srgbClr val="EE7B42"/>
              </a:solidFill>
            </c:spPr>
          </c:dPt>
          <c:dPt>
            <c:idx val="6"/>
            <c:spPr>
              <a:solidFill>
                <a:srgbClr val="EE7B42"/>
              </a:solidFill>
            </c:spPr>
          </c:dPt>
          <c:dPt>
            <c:idx val="7"/>
            <c:spPr>
              <a:solidFill>
                <a:srgbClr val="EE7B42"/>
              </a:solidFill>
            </c:spPr>
          </c:dPt>
          <c:dPt>
            <c:idx val="8"/>
            <c:spPr>
              <a:solidFill>
                <a:srgbClr val="EE7B42"/>
              </a:solidFill>
            </c:spPr>
          </c:dPt>
          <c:dPt>
            <c:idx val="9"/>
            <c:spPr>
              <a:solidFill>
                <a:srgbClr val="EE7B42"/>
              </a:solidFill>
            </c:spPr>
          </c:dPt>
          <c:dPt>
            <c:idx val="10"/>
            <c:spPr>
              <a:solidFill>
                <a:srgbClr val="EE7B42"/>
              </a:solidFill>
            </c:spPr>
          </c:dPt>
          <c:dPt>
            <c:idx val="11"/>
            <c:spPr>
              <a:solidFill>
                <a:srgbClr val="EE7B42"/>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CERC</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CERC — EduCheck</dc:creator>
  <dc:title>Rapport de suivi EduCheck — Écoles et projets d’infrastructure scolaire</dc:title>
  <dc:description/>
  <dc:subject>Toutes les données depuis le début du suivi</dc:subject>
  <cp:keywords/>
  <cp:category/>
  <cp:lastModifiedBy/>
  <dcterms:created xsi:type="dcterms:W3CDTF">2026-10-17T01:18:57+00:00</dcterms:created>
  <dcterms:modified xsi:type="dcterms:W3CDTF">2026-10-17T01:18:57+00:00</dcterms:modified>
</cp:coreProperties>
</file>

<file path=docProps/custom.xml><?xml version="1.0" encoding="utf-8"?>
<Properties xmlns="http://schemas.openxmlformats.org/officeDocument/2006/custom-properties" xmlns:vt="http://schemas.openxmlformats.org/officeDocument/2006/docPropsVTypes"/>
</file>